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4220" w:type="dxa"/>
        <w:tblInd w:w="180" w:type="dxa"/>
        <w:tblBorders>
          <w:top w:val="single" w:sz="8" w:space="0" w:color="674EA7"/>
          <w:left w:val="single" w:sz="8" w:space="0" w:color="674EA7"/>
          <w:bottom w:val="single" w:sz="8" w:space="0" w:color="674EA7"/>
          <w:right w:val="single" w:sz="8" w:space="0" w:color="674EA7"/>
          <w:insideH w:val="single" w:sz="8" w:space="0" w:color="674EA7"/>
          <w:insideV w:val="single" w:sz="8" w:space="0" w:color="674EA7"/>
        </w:tblBorders>
        <w:tblLayout w:type="fixed"/>
        <w:tblLook w:val="0600" w:firstRow="0" w:lastRow="0" w:firstColumn="0" w:lastColumn="0" w:noHBand="1" w:noVBand="1"/>
      </w:tblPr>
      <w:tblGrid>
        <w:gridCol w:w="7110"/>
        <w:gridCol w:w="7110"/>
      </w:tblGrid>
      <w:tr w:rsidR="00C240FA" w14:paraId="18A620C3" w14:textId="77777777" w:rsidTr="00EA4655">
        <w:tc>
          <w:tcPr>
            <w:tcW w:w="7110" w:type="dxa"/>
            <w:shd w:val="clear" w:color="auto" w:fill="674EA7"/>
            <w:tcMar>
              <w:top w:w="100" w:type="dxa"/>
              <w:left w:w="100" w:type="dxa"/>
              <w:bottom w:w="100" w:type="dxa"/>
              <w:right w:w="100" w:type="dxa"/>
            </w:tcMar>
          </w:tcPr>
          <w:p w14:paraId="186416AA" w14:textId="40C2D684" w:rsidR="00C240FA" w:rsidRPr="00C240FA" w:rsidRDefault="00C240FA" w:rsidP="00EA4655">
            <w:pPr>
              <w:widowControl w:val="0"/>
              <w:spacing w:line="240" w:lineRule="auto"/>
              <w:rPr>
                <w:color w:val="FFFFFF"/>
                <w:sz w:val="32"/>
              </w:rPr>
            </w:pPr>
            <w:r w:rsidRPr="00C240FA">
              <w:rPr>
                <w:color w:val="FFFFFF"/>
                <w:sz w:val="32"/>
              </w:rPr>
              <w:t>Lease Accounting Policy</w:t>
            </w:r>
            <w:r w:rsidR="00033C33">
              <w:rPr>
                <w:color w:val="FFFFFF"/>
                <w:sz w:val="32"/>
              </w:rPr>
              <w:t xml:space="preserve"> (</w:t>
            </w:r>
            <w:r w:rsidR="00620C94">
              <w:rPr>
                <w:color w:val="FFFFFF"/>
                <w:sz w:val="32"/>
              </w:rPr>
              <w:t>GASB 87</w:t>
            </w:r>
            <w:r w:rsidR="00033C33">
              <w:rPr>
                <w:color w:val="FFFFFF"/>
                <w:sz w:val="32"/>
              </w:rPr>
              <w:t>)</w:t>
            </w:r>
          </w:p>
        </w:tc>
        <w:tc>
          <w:tcPr>
            <w:tcW w:w="7110" w:type="dxa"/>
            <w:shd w:val="clear" w:color="auto" w:fill="674EA7"/>
            <w:tcMar>
              <w:top w:w="100" w:type="dxa"/>
              <w:left w:w="100" w:type="dxa"/>
              <w:bottom w:w="100" w:type="dxa"/>
              <w:right w:w="100" w:type="dxa"/>
            </w:tcMar>
          </w:tcPr>
          <w:p w14:paraId="52C6332D" w14:textId="77777777" w:rsidR="00C240FA" w:rsidRDefault="00C240FA" w:rsidP="00EA4655">
            <w:pPr>
              <w:widowControl w:val="0"/>
              <w:spacing w:line="240" w:lineRule="auto"/>
              <w:jc w:val="right"/>
              <w:rPr>
                <w:color w:val="FFFFFF"/>
              </w:rPr>
            </w:pPr>
          </w:p>
        </w:tc>
      </w:tr>
    </w:tbl>
    <w:p w14:paraId="3843A365" w14:textId="77777777" w:rsidR="00C240FA" w:rsidRPr="00C240FA" w:rsidRDefault="00C240FA" w:rsidP="00C240FA"/>
    <w:p w14:paraId="15E02945" w14:textId="79B149E3" w:rsidR="00590658" w:rsidRDefault="0034155A">
      <w:pPr>
        <w:ind w:left="180"/>
      </w:pPr>
      <w:r>
        <w:t xml:space="preserve">Before implementing </w:t>
      </w:r>
      <w:r w:rsidR="00620C94">
        <w:rPr>
          <w:b/>
          <w:i/>
        </w:rPr>
        <w:t>GASB 87</w:t>
      </w:r>
      <w:r w:rsidR="00033C33" w:rsidRPr="00757AD8">
        <w:rPr>
          <w:b/>
          <w:i/>
        </w:rPr>
        <w:t>, Leases</w:t>
      </w:r>
      <w:r w:rsidR="0027497E">
        <w:t xml:space="preserve">, </w:t>
      </w:r>
      <w:r w:rsidR="009A5709">
        <w:t xml:space="preserve">determine the following </w:t>
      </w:r>
      <w:r w:rsidR="00C842F5">
        <w:t>policy election</w:t>
      </w:r>
      <w:r w:rsidR="009A5709">
        <w:t>s</w:t>
      </w:r>
      <w:r w:rsidR="00C842F5">
        <w:t xml:space="preserve">.  </w:t>
      </w:r>
    </w:p>
    <w:p w14:paraId="539BEBCB" w14:textId="77777777" w:rsidR="00590658" w:rsidRDefault="00590658">
      <w:pPr>
        <w:ind w:left="180"/>
      </w:pPr>
    </w:p>
    <w:p w14:paraId="4891DDD4" w14:textId="5108786C" w:rsidR="007476B3" w:rsidRDefault="002873FD" w:rsidP="007476B3">
      <w:pPr>
        <w:spacing w:before="40" w:line="252" w:lineRule="auto"/>
        <w:ind w:left="180" w:right="280"/>
        <w:jc w:val="both"/>
        <w:rPr>
          <w:sz w:val="20"/>
          <w:szCs w:val="20"/>
        </w:rPr>
      </w:pPr>
      <w:r>
        <w:t xml:space="preserve">For convenience, the policies below contain a </w:t>
      </w:r>
      <w:r>
        <w:rPr>
          <w:rFonts w:ascii="Segoe UI Symbol" w:hAnsi="Segoe UI Symbol" w:cs="Segoe UI Symbol"/>
        </w:rPr>
        <w:t>☑</w:t>
      </w:r>
      <w:r>
        <w:t xml:space="preserve"> next to the most likely policy election based </w:t>
      </w:r>
      <w:r w:rsidR="00413635">
        <w:t>primarily</w:t>
      </w:r>
      <w:r>
        <w:t xml:space="preserve"> on practical expedience. Where no obvious choice for expedience exists, the elections</w:t>
      </w:r>
      <w:r w:rsidRPr="00033C33">
        <w:t xml:space="preserve"> </w:t>
      </w:r>
      <w:r>
        <w:t>boxes remain blank (</w:t>
      </w:r>
      <w:r>
        <w:rPr>
          <w:rFonts w:ascii="Segoe UI Symbol" w:hAnsi="Segoe UI Symbol" w:cs="Segoe UI Symbol"/>
        </w:rPr>
        <w:t>☐</w:t>
      </w:r>
      <w:r>
        <w:t xml:space="preserve">).  </w:t>
      </w:r>
      <w:r w:rsidR="007476B3">
        <w:t xml:space="preserve">Check with your CPA Firm for additional guidance.   </w:t>
      </w:r>
    </w:p>
    <w:p w14:paraId="1FB1BFA3" w14:textId="1BC83BD8" w:rsidR="002873FD" w:rsidRDefault="002873FD" w:rsidP="002873FD">
      <w:pPr>
        <w:spacing w:before="40" w:line="254" w:lineRule="auto"/>
        <w:ind w:left="180" w:right="280"/>
        <w:jc w:val="both"/>
        <w:rPr>
          <w:sz w:val="20"/>
          <w:szCs w:val="20"/>
        </w:rPr>
      </w:pPr>
    </w:p>
    <w:p w14:paraId="3791113F" w14:textId="77777777" w:rsidR="00590658" w:rsidRDefault="00C842F5">
      <w:pPr>
        <w:ind w:left="180"/>
      </w:pPr>
      <w:r>
        <w:tab/>
      </w:r>
      <w:r>
        <w:tab/>
      </w:r>
      <w:r>
        <w:tab/>
      </w:r>
      <w:r>
        <w:tab/>
        <w:t xml:space="preserve">      </w:t>
      </w:r>
      <w:r>
        <w:tab/>
        <w:t xml:space="preserve">                          </w:t>
      </w:r>
    </w:p>
    <w:p w14:paraId="2D5C3BDD" w14:textId="6380AF29" w:rsidR="00590658" w:rsidRPr="001C52DC" w:rsidRDefault="00C842F5" w:rsidP="001C52DC">
      <w:pPr>
        <w:ind w:left="180"/>
        <w:rPr>
          <w:b/>
        </w:rPr>
      </w:pPr>
      <w:r w:rsidRPr="00801047">
        <w:rPr>
          <w:b/>
        </w:rPr>
        <w:t>Table of Contents:</w:t>
      </w:r>
      <w:r w:rsidRPr="00801047">
        <w:rPr>
          <w:b/>
        </w:rPr>
        <w:tab/>
        <w:t xml:space="preserve">           </w:t>
      </w:r>
      <w:r w:rsidRPr="00801047">
        <w:rPr>
          <w:b/>
        </w:rPr>
        <w:tab/>
      </w:r>
      <w:r w:rsidRPr="00801047">
        <w:rPr>
          <w:b/>
        </w:rPr>
        <w:tab/>
      </w:r>
      <w:r w:rsidRPr="00801047">
        <w:rPr>
          <w:b/>
        </w:rPr>
        <w:tab/>
        <w:t xml:space="preserve">         </w:t>
      </w:r>
      <w:r>
        <w:tab/>
      </w:r>
      <w:r>
        <w:tab/>
        <w:t xml:space="preserve"> </w:t>
      </w:r>
    </w:p>
    <w:p w14:paraId="46715FC8" w14:textId="5B9B3370" w:rsidR="00590658" w:rsidRDefault="00832F91">
      <w:pPr>
        <w:tabs>
          <w:tab w:val="left" w:pos="3780"/>
        </w:tabs>
        <w:ind w:left="180"/>
      </w:pPr>
      <w:hyperlink w:anchor="Policy3" w:history="1">
        <w:r w:rsidR="00C842F5" w:rsidRPr="007B41C8">
          <w:rPr>
            <w:rStyle w:val="Hyperlink"/>
          </w:rPr>
          <w:t xml:space="preserve">Policy </w:t>
        </w:r>
        <w:r w:rsidR="001C52DC">
          <w:rPr>
            <w:rStyle w:val="Hyperlink"/>
          </w:rPr>
          <w:t>1</w:t>
        </w:r>
        <w:r w:rsidR="00C842F5" w:rsidRPr="007B41C8">
          <w:rPr>
            <w:rStyle w:val="Hyperlink"/>
          </w:rPr>
          <w:t>: Components</w:t>
        </w:r>
      </w:hyperlink>
      <w:r w:rsidR="00C842F5">
        <w:tab/>
      </w:r>
      <w:r w:rsidR="00C842F5">
        <w:tab/>
      </w:r>
      <w:r w:rsidR="00C842F5">
        <w:tab/>
      </w:r>
      <w:r w:rsidR="00C842F5">
        <w:tab/>
        <w:t xml:space="preserve"> </w:t>
      </w:r>
    </w:p>
    <w:p w14:paraId="3B0A0ABC" w14:textId="77777777" w:rsidR="007E19DA" w:rsidRDefault="00832F91">
      <w:pPr>
        <w:tabs>
          <w:tab w:val="left" w:pos="3780"/>
        </w:tabs>
        <w:ind w:left="180"/>
      </w:pPr>
      <w:hyperlink w:anchor="Policy5" w:history="1">
        <w:r w:rsidR="0034155A" w:rsidRPr="007B41C8">
          <w:rPr>
            <w:rStyle w:val="Hyperlink"/>
          </w:rPr>
          <w:t xml:space="preserve">Policy </w:t>
        </w:r>
        <w:r w:rsidR="001C52DC">
          <w:rPr>
            <w:rStyle w:val="Hyperlink"/>
          </w:rPr>
          <w:t>2</w:t>
        </w:r>
        <w:r w:rsidR="00C842F5" w:rsidRPr="007B41C8">
          <w:rPr>
            <w:rStyle w:val="Hyperlink"/>
          </w:rPr>
          <w:t xml:space="preserve">: </w:t>
        </w:r>
        <w:r w:rsidR="007B41C8" w:rsidRPr="007B41C8">
          <w:rPr>
            <w:rStyle w:val="Hyperlink"/>
          </w:rPr>
          <w:t xml:space="preserve">Initial </w:t>
        </w:r>
        <w:r w:rsidR="00C842F5" w:rsidRPr="007B41C8">
          <w:rPr>
            <w:rStyle w:val="Hyperlink"/>
          </w:rPr>
          <w:t>Application Date of Standard</w:t>
        </w:r>
      </w:hyperlink>
      <w:r w:rsidR="00C842F5">
        <w:tab/>
      </w:r>
    </w:p>
    <w:p w14:paraId="37EC9BB7" w14:textId="1861D06B" w:rsidR="00590658" w:rsidRDefault="00832F91">
      <w:pPr>
        <w:tabs>
          <w:tab w:val="left" w:pos="3780"/>
        </w:tabs>
        <w:ind w:left="180"/>
      </w:pPr>
      <w:hyperlink w:anchor="Policy6" w:history="1">
        <w:r w:rsidR="007E19DA" w:rsidRPr="007B41C8">
          <w:rPr>
            <w:rStyle w:val="Hyperlink"/>
          </w:rPr>
          <w:t xml:space="preserve">Policy </w:t>
        </w:r>
        <w:r w:rsidR="007E19DA">
          <w:rPr>
            <w:rStyle w:val="Hyperlink"/>
          </w:rPr>
          <w:t>3</w:t>
        </w:r>
        <w:r w:rsidR="007E19DA" w:rsidRPr="007B41C8">
          <w:rPr>
            <w:rStyle w:val="Hyperlink"/>
          </w:rPr>
          <w:t xml:space="preserve">: </w:t>
        </w:r>
        <w:r w:rsidR="001249E7">
          <w:rPr>
            <w:rStyle w:val="Hyperlink"/>
          </w:rPr>
          <w:t>Capitalization</w:t>
        </w:r>
      </w:hyperlink>
      <w:r w:rsidR="001249E7">
        <w:rPr>
          <w:rStyle w:val="Hyperlink"/>
        </w:rPr>
        <w:t xml:space="preserve"> Threshold</w:t>
      </w:r>
      <w:r w:rsidR="00C842F5">
        <w:tab/>
      </w:r>
      <w:r w:rsidR="00C842F5">
        <w:tab/>
      </w:r>
    </w:p>
    <w:p w14:paraId="0B1E8B5C" w14:textId="5C2CC69C" w:rsidR="00590658" w:rsidRDefault="00C842F5">
      <w:pPr>
        <w:tabs>
          <w:tab w:val="left" w:pos="3780"/>
        </w:tabs>
        <w:ind w:left="180"/>
      </w:pPr>
      <w:r>
        <w:tab/>
      </w:r>
      <w:r>
        <w:tab/>
      </w:r>
      <w:r>
        <w:tab/>
      </w:r>
      <w:r>
        <w:tab/>
      </w:r>
    </w:p>
    <w:p w14:paraId="2DD4EDAA" w14:textId="64AD01D9" w:rsidR="00A53149" w:rsidRDefault="00C842F5" w:rsidP="00213867">
      <w:pPr>
        <w:tabs>
          <w:tab w:val="left" w:pos="3780"/>
        </w:tabs>
        <w:ind w:left="180"/>
      </w:pPr>
      <w:r>
        <w:tab/>
      </w:r>
      <w:r>
        <w:tab/>
      </w:r>
      <w:r>
        <w:tab/>
      </w:r>
      <w:r>
        <w:tab/>
      </w:r>
    </w:p>
    <w:p w14:paraId="5CAE50CC" w14:textId="77777777" w:rsidR="008B77A4" w:rsidRPr="008B77A4" w:rsidRDefault="008B77A4" w:rsidP="008B77A4">
      <w:pPr>
        <w:tabs>
          <w:tab w:val="left" w:pos="3780"/>
        </w:tabs>
        <w:ind w:left="180"/>
      </w:pPr>
    </w:p>
    <w:p w14:paraId="14105092" w14:textId="77777777" w:rsidR="00A63F43" w:rsidRDefault="00A63F43"/>
    <w:p w14:paraId="50EFA75D" w14:textId="77777777" w:rsidR="00590658" w:rsidRDefault="00590658" w:rsidP="00A63F43"/>
    <w:p w14:paraId="3040734C" w14:textId="5ACCAF54" w:rsidR="00590658" w:rsidRPr="001C52DC" w:rsidRDefault="00A63F43" w:rsidP="001C52DC">
      <w:r>
        <w:br w:type="page"/>
      </w:r>
    </w:p>
    <w:p w14:paraId="48588A65" w14:textId="02158B96" w:rsidR="00590658" w:rsidRDefault="00590658" w:rsidP="00A63F43">
      <w:pPr>
        <w:rPr>
          <w:sz w:val="18"/>
          <w:szCs w:val="18"/>
        </w:rPr>
      </w:pPr>
    </w:p>
    <w:tbl>
      <w:tblPr>
        <w:tblStyle w:val="a1"/>
        <w:tblW w:w="14220" w:type="dxa"/>
        <w:tblInd w:w="180" w:type="dxa"/>
        <w:tblBorders>
          <w:top w:val="single" w:sz="8" w:space="0" w:color="674EA7"/>
          <w:left w:val="single" w:sz="8" w:space="0" w:color="674EA7"/>
          <w:bottom w:val="single" w:sz="8" w:space="0" w:color="674EA7"/>
          <w:right w:val="single" w:sz="8" w:space="0" w:color="674EA7"/>
          <w:insideH w:val="single" w:sz="8" w:space="0" w:color="674EA7"/>
          <w:insideV w:val="single" w:sz="8" w:space="0" w:color="674EA7"/>
        </w:tblBorders>
        <w:tblLayout w:type="fixed"/>
        <w:tblLook w:val="0600" w:firstRow="0" w:lastRow="0" w:firstColumn="0" w:lastColumn="0" w:noHBand="1" w:noVBand="1"/>
      </w:tblPr>
      <w:tblGrid>
        <w:gridCol w:w="7110"/>
        <w:gridCol w:w="7110"/>
      </w:tblGrid>
      <w:tr w:rsidR="00590658" w14:paraId="42A92EC9" w14:textId="77777777">
        <w:tc>
          <w:tcPr>
            <w:tcW w:w="7110" w:type="dxa"/>
            <w:shd w:val="clear" w:color="auto" w:fill="674EA7"/>
            <w:tcMar>
              <w:top w:w="100" w:type="dxa"/>
              <w:left w:w="100" w:type="dxa"/>
              <w:bottom w:w="100" w:type="dxa"/>
              <w:right w:w="100" w:type="dxa"/>
            </w:tcMar>
          </w:tcPr>
          <w:p w14:paraId="07C228B9" w14:textId="44B3A263" w:rsidR="00590658" w:rsidRDefault="00C842F5">
            <w:pPr>
              <w:widowControl w:val="0"/>
              <w:spacing w:line="240" w:lineRule="auto"/>
              <w:rPr>
                <w:color w:val="FFFFFF"/>
              </w:rPr>
            </w:pPr>
            <w:bookmarkStart w:id="0" w:name="Policy3"/>
            <w:r>
              <w:rPr>
                <w:color w:val="FFFFFF"/>
              </w:rPr>
              <w:t xml:space="preserve">Policy </w:t>
            </w:r>
            <w:r w:rsidR="007E19DA">
              <w:rPr>
                <w:color w:val="FFFFFF"/>
              </w:rPr>
              <w:t>1</w:t>
            </w:r>
            <w:r>
              <w:rPr>
                <w:color w:val="FFFFFF"/>
              </w:rPr>
              <w:t>: Components</w:t>
            </w:r>
            <w:bookmarkEnd w:id="0"/>
          </w:p>
        </w:tc>
        <w:tc>
          <w:tcPr>
            <w:tcW w:w="7110" w:type="dxa"/>
            <w:shd w:val="clear" w:color="auto" w:fill="674EA7"/>
            <w:tcMar>
              <w:top w:w="100" w:type="dxa"/>
              <w:left w:w="100" w:type="dxa"/>
              <w:bottom w:w="100" w:type="dxa"/>
              <w:right w:w="100" w:type="dxa"/>
            </w:tcMar>
          </w:tcPr>
          <w:p w14:paraId="3EA1077D" w14:textId="77777777" w:rsidR="00590658" w:rsidRDefault="00590658">
            <w:pPr>
              <w:widowControl w:val="0"/>
              <w:spacing w:line="240" w:lineRule="auto"/>
              <w:jc w:val="right"/>
              <w:rPr>
                <w:color w:val="FFFFFF"/>
              </w:rPr>
            </w:pPr>
          </w:p>
        </w:tc>
      </w:tr>
    </w:tbl>
    <w:p w14:paraId="6F74AFD4" w14:textId="77777777" w:rsidR="00590658" w:rsidRDefault="00590658">
      <w:pPr>
        <w:spacing w:before="40" w:line="254" w:lineRule="auto"/>
        <w:ind w:left="180" w:right="100"/>
        <w:rPr>
          <w:sz w:val="20"/>
          <w:szCs w:val="20"/>
        </w:rPr>
      </w:pPr>
    </w:p>
    <w:p w14:paraId="6A8A5DE9" w14:textId="7B2252D3" w:rsidR="00590658" w:rsidRDefault="0034155A">
      <w:pPr>
        <w:spacing w:before="40" w:line="254" w:lineRule="auto"/>
        <w:ind w:left="180" w:right="100"/>
        <w:rPr>
          <w:sz w:val="18"/>
          <w:szCs w:val="18"/>
        </w:rPr>
      </w:pPr>
      <w:r>
        <w:rPr>
          <w:sz w:val="18"/>
          <w:szCs w:val="18"/>
        </w:rPr>
        <w:t>(</w:t>
      </w:r>
      <w:r w:rsidR="001573B5">
        <w:rPr>
          <w:sz w:val="18"/>
          <w:szCs w:val="18"/>
        </w:rPr>
        <w:t>GASB 87</w:t>
      </w:r>
      <w:r w:rsidR="00C842F5">
        <w:rPr>
          <w:sz w:val="18"/>
          <w:szCs w:val="18"/>
        </w:rPr>
        <w:t>: Par</w:t>
      </w:r>
      <w:r w:rsidR="00DC7B99">
        <w:rPr>
          <w:sz w:val="18"/>
          <w:szCs w:val="18"/>
        </w:rPr>
        <w:t>agraph</w:t>
      </w:r>
      <w:r w:rsidR="001573B5">
        <w:rPr>
          <w:sz w:val="18"/>
          <w:szCs w:val="18"/>
        </w:rPr>
        <w:t>s</w:t>
      </w:r>
      <w:r w:rsidR="00DC7B99">
        <w:rPr>
          <w:sz w:val="18"/>
          <w:szCs w:val="18"/>
        </w:rPr>
        <w:t xml:space="preserve"> </w:t>
      </w:r>
      <w:r w:rsidR="005E5308">
        <w:rPr>
          <w:sz w:val="18"/>
          <w:szCs w:val="18"/>
        </w:rPr>
        <w:t>63-</w:t>
      </w:r>
      <w:r w:rsidR="001C52DC">
        <w:rPr>
          <w:sz w:val="18"/>
          <w:szCs w:val="18"/>
        </w:rPr>
        <w:t xml:space="preserve">67, </w:t>
      </w:r>
      <w:r w:rsidR="001573B5">
        <w:rPr>
          <w:sz w:val="18"/>
          <w:szCs w:val="18"/>
        </w:rPr>
        <w:t>B92-B96</w:t>
      </w:r>
      <w:r w:rsidR="00DC7B99">
        <w:rPr>
          <w:sz w:val="18"/>
          <w:szCs w:val="18"/>
        </w:rPr>
        <w:t xml:space="preserve">):  </w:t>
      </w:r>
      <w:r w:rsidR="009A5709">
        <w:rPr>
          <w:sz w:val="18"/>
          <w:szCs w:val="18"/>
        </w:rPr>
        <w:t>E</w:t>
      </w:r>
      <w:r w:rsidR="00DC7B99">
        <w:rPr>
          <w:sz w:val="18"/>
          <w:szCs w:val="18"/>
        </w:rPr>
        <w:t xml:space="preserve">lect </w:t>
      </w:r>
      <w:r w:rsidR="00C842F5">
        <w:rPr>
          <w:sz w:val="18"/>
          <w:szCs w:val="18"/>
        </w:rPr>
        <w:t xml:space="preserve">to account for </w:t>
      </w:r>
      <w:r w:rsidR="005E5308">
        <w:rPr>
          <w:sz w:val="18"/>
          <w:szCs w:val="18"/>
        </w:rPr>
        <w:t xml:space="preserve">individual </w:t>
      </w:r>
      <w:r w:rsidR="00C842F5">
        <w:rPr>
          <w:sz w:val="18"/>
          <w:szCs w:val="18"/>
        </w:rPr>
        <w:t>components as a single combined lease component</w:t>
      </w:r>
      <w:r w:rsidR="001C52DC">
        <w:rPr>
          <w:sz w:val="18"/>
          <w:szCs w:val="18"/>
        </w:rPr>
        <w:t xml:space="preserve"> if it is not practicable to determine a best estimate for price allocation for some or all components in the contract</w:t>
      </w:r>
      <w:r w:rsidR="00C842F5">
        <w:rPr>
          <w:sz w:val="18"/>
          <w:szCs w:val="18"/>
        </w:rPr>
        <w:t>.</w:t>
      </w:r>
    </w:p>
    <w:p w14:paraId="5941A443" w14:textId="77777777" w:rsidR="00590658" w:rsidRDefault="00590658">
      <w:pPr>
        <w:spacing w:before="40" w:line="254" w:lineRule="auto"/>
        <w:ind w:left="180" w:right="100"/>
        <w:rPr>
          <w:sz w:val="18"/>
          <w:szCs w:val="18"/>
        </w:rPr>
      </w:pPr>
    </w:p>
    <w:p w14:paraId="46477867" w14:textId="78B9AB32" w:rsidR="0034155A" w:rsidRDefault="0034155A" w:rsidP="0034155A">
      <w:pPr>
        <w:spacing w:before="40" w:line="254" w:lineRule="auto"/>
        <w:ind w:left="180" w:right="100"/>
        <w:rPr>
          <w:sz w:val="18"/>
          <w:szCs w:val="18"/>
        </w:rPr>
      </w:pPr>
      <w:r>
        <w:rPr>
          <w:b/>
          <w:sz w:val="18"/>
          <w:szCs w:val="18"/>
        </w:rPr>
        <w:t>Note 1:</w:t>
      </w:r>
      <w:r>
        <w:rPr>
          <w:sz w:val="18"/>
          <w:szCs w:val="18"/>
        </w:rPr>
        <w:t xml:space="preserve"> </w:t>
      </w:r>
      <w:r w:rsidR="005E5308">
        <w:rPr>
          <w:sz w:val="18"/>
          <w:szCs w:val="18"/>
        </w:rPr>
        <w:t>C</w:t>
      </w:r>
      <w:r>
        <w:rPr>
          <w:sz w:val="18"/>
          <w:szCs w:val="18"/>
        </w:rPr>
        <w:t>omponents of a contract include only those items or activities that transfer a good or service to the lessee.</w:t>
      </w:r>
      <w:r w:rsidR="00694E8A">
        <w:rPr>
          <w:sz w:val="18"/>
          <w:szCs w:val="18"/>
        </w:rPr>
        <w:t xml:space="preserve">  </w:t>
      </w:r>
      <w:r w:rsidR="001F515C">
        <w:rPr>
          <w:sz w:val="18"/>
          <w:szCs w:val="18"/>
        </w:rPr>
        <w:t>E</w:t>
      </w:r>
      <w:r w:rsidR="00694E8A">
        <w:rPr>
          <w:sz w:val="18"/>
          <w:szCs w:val="18"/>
        </w:rPr>
        <w:t>xample</w:t>
      </w:r>
      <w:r w:rsidR="001F515C">
        <w:rPr>
          <w:sz w:val="18"/>
          <w:szCs w:val="18"/>
        </w:rPr>
        <w:t>s</w:t>
      </w:r>
      <w:r w:rsidR="00694E8A">
        <w:rPr>
          <w:sz w:val="18"/>
          <w:szCs w:val="18"/>
        </w:rPr>
        <w:t xml:space="preserve"> of nonlease components </w:t>
      </w:r>
      <w:r w:rsidR="006F385F">
        <w:rPr>
          <w:sz w:val="18"/>
          <w:szCs w:val="18"/>
        </w:rPr>
        <w:t>include</w:t>
      </w:r>
      <w:r w:rsidR="00694E8A">
        <w:rPr>
          <w:sz w:val="18"/>
          <w:szCs w:val="18"/>
        </w:rPr>
        <w:t xml:space="preserve"> common area maintenance, parking expense or annual maintenance on a </w:t>
      </w:r>
      <w:r w:rsidR="00E070EC">
        <w:rPr>
          <w:sz w:val="18"/>
          <w:szCs w:val="18"/>
        </w:rPr>
        <w:t>lease asset</w:t>
      </w:r>
      <w:r w:rsidR="00694E8A">
        <w:rPr>
          <w:sz w:val="18"/>
          <w:szCs w:val="18"/>
        </w:rPr>
        <w:t xml:space="preserve">.  </w:t>
      </w:r>
    </w:p>
    <w:p w14:paraId="3EE2EDFF" w14:textId="77777777" w:rsidR="0034155A" w:rsidRDefault="0034155A" w:rsidP="0034155A">
      <w:pPr>
        <w:spacing w:before="40" w:line="254" w:lineRule="auto"/>
        <w:ind w:left="180" w:right="100"/>
        <w:rPr>
          <w:sz w:val="18"/>
          <w:szCs w:val="18"/>
        </w:rPr>
      </w:pPr>
    </w:p>
    <w:p w14:paraId="22D11CAA" w14:textId="16230C47" w:rsidR="0034155A" w:rsidRDefault="0034155A" w:rsidP="0034155A">
      <w:pPr>
        <w:spacing w:before="40" w:line="254" w:lineRule="auto"/>
        <w:ind w:left="180" w:right="100"/>
        <w:rPr>
          <w:sz w:val="18"/>
          <w:szCs w:val="18"/>
        </w:rPr>
      </w:pPr>
      <w:r>
        <w:rPr>
          <w:b/>
          <w:sz w:val="18"/>
          <w:szCs w:val="18"/>
        </w:rPr>
        <w:t>Note 2</w:t>
      </w:r>
      <w:r>
        <w:rPr>
          <w:b/>
          <w:sz w:val="18"/>
          <w:szCs w:val="18"/>
        </w:rPr>
        <w:t xml:space="preserve">: </w:t>
      </w:r>
      <w:r w:rsidR="009A5709">
        <w:rPr>
          <w:sz w:val="18"/>
          <w:szCs w:val="18"/>
        </w:rPr>
        <w:t>A</w:t>
      </w:r>
      <w:r w:rsidR="002873FD">
        <w:rPr>
          <w:sz w:val="18"/>
          <w:szCs w:val="18"/>
        </w:rPr>
        <w:t>llocat</w:t>
      </w:r>
      <w:r w:rsidR="009A5709">
        <w:rPr>
          <w:sz w:val="18"/>
          <w:szCs w:val="18"/>
        </w:rPr>
        <w:t>ion of</w:t>
      </w:r>
      <w:r w:rsidR="002873FD">
        <w:rPr>
          <w:sz w:val="18"/>
          <w:szCs w:val="18"/>
        </w:rPr>
        <w:t xml:space="preserve"> the consideration in the contract </w:t>
      </w:r>
      <w:r w:rsidR="002873FD" w:rsidRPr="004B7987">
        <w:rPr>
          <w:sz w:val="18"/>
          <w:szCs w:val="18"/>
        </w:rPr>
        <w:t>(i.e.</w:t>
      </w:r>
      <w:r w:rsidR="009A5709">
        <w:rPr>
          <w:sz w:val="18"/>
          <w:szCs w:val="18"/>
        </w:rPr>
        <w:t>,</w:t>
      </w:r>
      <w:r w:rsidR="002873FD" w:rsidRPr="004B7987">
        <w:rPr>
          <w:sz w:val="18"/>
          <w:szCs w:val="18"/>
        </w:rPr>
        <w:t xml:space="preserve"> payments)</w:t>
      </w:r>
      <w:r w:rsidR="002873FD">
        <w:rPr>
          <w:sz w:val="18"/>
          <w:szCs w:val="18"/>
        </w:rPr>
        <w:t xml:space="preserve"> </w:t>
      </w:r>
      <w:r w:rsidR="009A5709">
        <w:rPr>
          <w:sz w:val="18"/>
          <w:szCs w:val="18"/>
        </w:rPr>
        <w:t xml:space="preserve">should occur </w:t>
      </w:r>
      <w:r w:rsidR="002873FD">
        <w:rPr>
          <w:sz w:val="18"/>
          <w:szCs w:val="18"/>
        </w:rPr>
        <w:t xml:space="preserve">on a relative standalone price basis to the separate lease and nonlease components of the contract.  If observable standalone prices are not readily available, estimate the standalone prices, maximizing the use of observable information. </w:t>
      </w:r>
    </w:p>
    <w:p w14:paraId="4B45751B" w14:textId="77777777" w:rsidR="0034155A" w:rsidRDefault="0034155A" w:rsidP="001C52DC">
      <w:pPr>
        <w:spacing w:before="40" w:line="254" w:lineRule="auto"/>
        <w:ind w:right="100"/>
        <w:rPr>
          <w:sz w:val="18"/>
          <w:szCs w:val="18"/>
        </w:rPr>
      </w:pPr>
    </w:p>
    <w:p w14:paraId="42AA745C" w14:textId="77777777" w:rsidR="0034155A" w:rsidRDefault="0034155A" w:rsidP="0034155A">
      <w:pPr>
        <w:spacing w:before="40" w:line="254" w:lineRule="auto"/>
        <w:ind w:left="180" w:right="280"/>
        <w:jc w:val="both"/>
        <w:rPr>
          <w:b/>
          <w:sz w:val="18"/>
          <w:szCs w:val="18"/>
          <w:u w:val="single"/>
        </w:rPr>
      </w:pPr>
      <w:r>
        <w:rPr>
          <w:b/>
          <w:sz w:val="18"/>
          <w:szCs w:val="18"/>
          <w:u w:val="single"/>
        </w:rPr>
        <w:t>Policy Election:</w:t>
      </w:r>
    </w:p>
    <w:p w14:paraId="203EC850" w14:textId="645BEE3D" w:rsidR="0034155A" w:rsidRDefault="0034155A" w:rsidP="0034155A">
      <w:pPr>
        <w:tabs>
          <w:tab w:val="right" w:pos="360"/>
          <w:tab w:val="left" w:pos="0"/>
        </w:tabs>
        <w:spacing w:before="40" w:line="254" w:lineRule="auto"/>
        <w:ind w:right="280"/>
        <w:jc w:val="both"/>
        <w:rPr>
          <w:sz w:val="18"/>
          <w:szCs w:val="18"/>
        </w:rPr>
      </w:pPr>
      <w:r>
        <w:rPr>
          <w:sz w:val="18"/>
          <w:szCs w:val="18"/>
        </w:rPr>
        <w:t xml:space="preserve">    </w:t>
      </w:r>
    </w:p>
    <w:p w14:paraId="23976534" w14:textId="2FF37F67" w:rsidR="0034155A" w:rsidRDefault="0034155A" w:rsidP="001C52DC">
      <w:pPr>
        <w:tabs>
          <w:tab w:val="left" w:pos="0"/>
          <w:tab w:val="left" w:pos="90"/>
          <w:tab w:val="right" w:pos="360"/>
          <w:tab w:val="left" w:pos="720"/>
        </w:tabs>
        <w:spacing w:before="40" w:line="254" w:lineRule="auto"/>
        <w:ind w:left="720" w:right="280" w:hanging="720"/>
        <w:jc w:val="both"/>
        <w:rPr>
          <w:sz w:val="18"/>
          <w:szCs w:val="18"/>
        </w:rPr>
      </w:pPr>
      <w:r>
        <w:rPr>
          <w:sz w:val="18"/>
          <w:szCs w:val="18"/>
        </w:rPr>
        <w:t xml:space="preserve">      </w:t>
      </w:r>
      <w:sdt>
        <w:sdtPr>
          <w:rPr>
            <w:sz w:val="24"/>
            <w:szCs w:val="24"/>
          </w:rPr>
          <w:id w:val="266047994"/>
          <w14:checkbox>
            <w14:checked w14:val="0"/>
            <w14:checkedState w14:val="00FE" w14:font="Wingdings"/>
            <w14:uncheckedState w14:val="00A8" w14:font="Wingdings"/>
          </w14:checkbox>
        </w:sdtPr>
        <w:sdtEndPr/>
        <w:sdtContent>
          <w:r w:rsidR="00E070EC">
            <w:rPr>
              <w:sz w:val="24"/>
              <w:szCs w:val="24"/>
            </w:rPr>
            <w:sym w:font="Wingdings" w:char="F0A8"/>
          </w:r>
        </w:sdtContent>
      </w:sdt>
      <w:r>
        <w:rPr>
          <w:sz w:val="18"/>
          <w:szCs w:val="18"/>
        </w:rPr>
        <w:t xml:space="preserve">   Elect to combine lease </w:t>
      </w:r>
      <w:r w:rsidR="00D85DFC">
        <w:rPr>
          <w:sz w:val="18"/>
          <w:szCs w:val="18"/>
        </w:rPr>
        <w:t xml:space="preserve">and </w:t>
      </w:r>
      <w:r>
        <w:rPr>
          <w:sz w:val="18"/>
          <w:szCs w:val="18"/>
        </w:rPr>
        <w:t>nonlease components for the following class</w:t>
      </w:r>
      <w:r w:rsidR="0010025E">
        <w:rPr>
          <w:sz w:val="18"/>
          <w:szCs w:val="18"/>
        </w:rPr>
        <w:t>(es)</w:t>
      </w:r>
      <w:r>
        <w:rPr>
          <w:sz w:val="18"/>
          <w:szCs w:val="18"/>
        </w:rPr>
        <w:t xml:space="preserve"> of underlying asset</w:t>
      </w:r>
      <w:r w:rsidR="00E167C9">
        <w:rPr>
          <w:sz w:val="18"/>
          <w:szCs w:val="18"/>
        </w:rPr>
        <w:t>(s)</w:t>
      </w:r>
      <w:r w:rsidR="001C52DC">
        <w:rPr>
          <w:sz w:val="18"/>
          <w:szCs w:val="18"/>
        </w:rPr>
        <w:t xml:space="preserve"> in which it is not practicable to determine a best estimate for price allocation for the following components</w:t>
      </w:r>
      <w:r>
        <w:rPr>
          <w:sz w:val="18"/>
          <w:szCs w:val="18"/>
        </w:rPr>
        <w:t xml:space="preserve">: [______]  </w:t>
      </w:r>
    </w:p>
    <w:p w14:paraId="1178DAC0" w14:textId="77777777" w:rsidR="0034155A" w:rsidRDefault="0034155A" w:rsidP="0034155A">
      <w:pPr>
        <w:spacing w:before="40" w:line="254" w:lineRule="auto"/>
        <w:ind w:left="180" w:right="280"/>
        <w:jc w:val="both"/>
        <w:rPr>
          <w:sz w:val="18"/>
          <w:szCs w:val="18"/>
        </w:rPr>
      </w:pPr>
    </w:p>
    <w:p w14:paraId="646CB890" w14:textId="77777777" w:rsidR="0034155A" w:rsidRDefault="0034155A" w:rsidP="0034155A">
      <w:pPr>
        <w:spacing w:before="40" w:line="254" w:lineRule="auto"/>
        <w:ind w:left="180" w:right="280"/>
        <w:jc w:val="both"/>
        <w:rPr>
          <w:sz w:val="18"/>
          <w:szCs w:val="18"/>
        </w:rPr>
      </w:pPr>
      <w:r>
        <w:rPr>
          <w:sz w:val="18"/>
          <w:szCs w:val="18"/>
        </w:rPr>
        <w:t>Comments</w:t>
      </w:r>
      <w:proofErr w:type="gramStart"/>
      <w:r>
        <w:rPr>
          <w:sz w:val="18"/>
          <w:szCs w:val="18"/>
        </w:rPr>
        <w:t>:  [</w:t>
      </w:r>
      <w:proofErr w:type="gramEnd"/>
      <w:r>
        <w:rPr>
          <w:sz w:val="18"/>
          <w:szCs w:val="18"/>
        </w:rPr>
        <w:t xml:space="preserve">_________________] </w:t>
      </w:r>
    </w:p>
    <w:p w14:paraId="39F161BA" w14:textId="77777777" w:rsidR="0034155A" w:rsidRDefault="0034155A" w:rsidP="0034155A">
      <w:pPr>
        <w:spacing w:before="40" w:line="254" w:lineRule="auto"/>
        <w:ind w:left="180" w:right="280"/>
        <w:jc w:val="both"/>
        <w:rPr>
          <w:sz w:val="18"/>
          <w:szCs w:val="18"/>
        </w:rPr>
      </w:pPr>
    </w:p>
    <w:p w14:paraId="0A27EE66" w14:textId="67898794" w:rsidR="00D85DFC" w:rsidRDefault="0034155A" w:rsidP="0034155A">
      <w:pPr>
        <w:spacing w:before="40" w:line="254" w:lineRule="auto"/>
        <w:ind w:left="180" w:right="280"/>
        <w:jc w:val="both"/>
        <w:rPr>
          <w:sz w:val="18"/>
          <w:szCs w:val="18"/>
        </w:rPr>
      </w:pPr>
      <w:r>
        <w:rPr>
          <w:b/>
          <w:sz w:val="18"/>
          <w:szCs w:val="18"/>
        </w:rPr>
        <w:t>Advantage:</w:t>
      </w:r>
      <w:r>
        <w:rPr>
          <w:sz w:val="18"/>
          <w:szCs w:val="18"/>
        </w:rPr>
        <w:t xml:space="preserve">  </w:t>
      </w:r>
      <w:r w:rsidR="002873FD">
        <w:rPr>
          <w:sz w:val="18"/>
          <w:szCs w:val="18"/>
        </w:rPr>
        <w:t xml:space="preserve">If this election is made, the </w:t>
      </w:r>
      <w:r w:rsidR="002873FD">
        <w:rPr>
          <w:sz w:val="18"/>
          <w:szCs w:val="18"/>
        </w:rPr>
        <w:t xml:space="preserve">lessee </w:t>
      </w:r>
      <w:r w:rsidR="000A4A12">
        <w:rPr>
          <w:sz w:val="18"/>
          <w:szCs w:val="18"/>
        </w:rPr>
        <w:t xml:space="preserve">or lessor </w:t>
      </w:r>
      <w:r w:rsidR="002873FD">
        <w:rPr>
          <w:sz w:val="18"/>
          <w:szCs w:val="18"/>
        </w:rPr>
        <w:t>will not have to allocate between lease and nonle</w:t>
      </w:r>
      <w:r w:rsidR="007239F3">
        <w:rPr>
          <w:sz w:val="18"/>
          <w:szCs w:val="18"/>
        </w:rPr>
        <w:t>ase payments, which will</w:t>
      </w:r>
      <w:r w:rsidR="002873FD">
        <w:rPr>
          <w:sz w:val="18"/>
          <w:szCs w:val="18"/>
        </w:rPr>
        <w:t xml:space="preserve"> save time. </w:t>
      </w:r>
    </w:p>
    <w:p w14:paraId="7C3EE83F" w14:textId="2274065B" w:rsidR="002873FD" w:rsidRDefault="002873FD" w:rsidP="0034155A">
      <w:pPr>
        <w:spacing w:before="40" w:line="254" w:lineRule="auto"/>
        <w:ind w:left="180" w:right="280"/>
        <w:jc w:val="both"/>
        <w:rPr>
          <w:sz w:val="18"/>
          <w:szCs w:val="18"/>
        </w:rPr>
      </w:pPr>
      <w:r>
        <w:rPr>
          <w:sz w:val="18"/>
          <w:szCs w:val="18"/>
        </w:rPr>
        <w:t>Common Area Maintenance (CAM) is a nonlease component often paid as part of an office lease.  If this election is made, treat CAM as a lease payment.</w:t>
      </w:r>
    </w:p>
    <w:p w14:paraId="0920BD34" w14:textId="396D97B7" w:rsidR="00590658" w:rsidRDefault="0034155A">
      <w:pPr>
        <w:spacing w:before="40" w:line="254" w:lineRule="auto"/>
        <w:ind w:left="180" w:right="280"/>
        <w:jc w:val="both"/>
        <w:rPr>
          <w:sz w:val="18"/>
          <w:szCs w:val="18"/>
        </w:rPr>
      </w:pPr>
      <w:r>
        <w:rPr>
          <w:b/>
          <w:sz w:val="18"/>
          <w:szCs w:val="18"/>
        </w:rPr>
        <w:t>Disadvantage:</w:t>
      </w:r>
      <w:r>
        <w:rPr>
          <w:sz w:val="18"/>
          <w:szCs w:val="18"/>
        </w:rPr>
        <w:t xml:space="preserve">  </w:t>
      </w:r>
      <w:r w:rsidR="001C52DC">
        <w:rPr>
          <w:sz w:val="18"/>
          <w:szCs w:val="18"/>
        </w:rPr>
        <w:t xml:space="preserve">Impracticable is a high threshold.  Choosing to apply to all periods presented </w:t>
      </w:r>
      <w:r w:rsidR="001C52DC">
        <w:rPr>
          <w:sz w:val="18"/>
          <w:szCs w:val="18"/>
        </w:rPr>
        <w:t xml:space="preserve">will reduce the scrutiny by auditors and users of your financial statements.  </w:t>
      </w:r>
    </w:p>
    <w:p w14:paraId="0DFA7728" w14:textId="2AEA6D13" w:rsidR="00590658" w:rsidRDefault="00590658" w:rsidP="007E19DA">
      <w:pPr>
        <w:rPr>
          <w:sz w:val="18"/>
          <w:szCs w:val="18"/>
        </w:rPr>
      </w:pPr>
    </w:p>
    <w:p w14:paraId="5CB9F40C" w14:textId="77777777" w:rsidR="00590658" w:rsidRDefault="00590658">
      <w:pPr>
        <w:spacing w:before="40" w:line="254" w:lineRule="auto"/>
        <w:ind w:left="180" w:right="280"/>
        <w:jc w:val="both"/>
        <w:rPr>
          <w:sz w:val="18"/>
          <w:szCs w:val="18"/>
        </w:rPr>
      </w:pPr>
    </w:p>
    <w:p w14:paraId="64D46B3D" w14:textId="77777777" w:rsidR="00590658" w:rsidRDefault="00C842F5" w:rsidP="00A63F43">
      <w:pPr>
        <w:rPr>
          <w:sz w:val="18"/>
          <w:szCs w:val="18"/>
        </w:rPr>
      </w:pPr>
      <w:r>
        <w:br w:type="page"/>
      </w:r>
    </w:p>
    <w:tbl>
      <w:tblPr>
        <w:tblStyle w:val="a5"/>
        <w:tblW w:w="14220" w:type="dxa"/>
        <w:tblInd w:w="180" w:type="dxa"/>
        <w:tblBorders>
          <w:top w:val="single" w:sz="8" w:space="0" w:color="674EA7"/>
          <w:left w:val="single" w:sz="8" w:space="0" w:color="674EA7"/>
          <w:bottom w:val="single" w:sz="8" w:space="0" w:color="674EA7"/>
          <w:right w:val="single" w:sz="8" w:space="0" w:color="674EA7"/>
          <w:insideH w:val="single" w:sz="8" w:space="0" w:color="674EA7"/>
          <w:insideV w:val="single" w:sz="8" w:space="0" w:color="674EA7"/>
        </w:tblBorders>
        <w:tblLayout w:type="fixed"/>
        <w:tblLook w:val="0600" w:firstRow="0" w:lastRow="0" w:firstColumn="0" w:lastColumn="0" w:noHBand="1" w:noVBand="1"/>
      </w:tblPr>
      <w:tblGrid>
        <w:gridCol w:w="7110"/>
        <w:gridCol w:w="7110"/>
      </w:tblGrid>
      <w:tr w:rsidR="00590658" w14:paraId="62C9B004" w14:textId="77777777">
        <w:tc>
          <w:tcPr>
            <w:tcW w:w="7110" w:type="dxa"/>
            <w:shd w:val="clear" w:color="auto" w:fill="674EA7"/>
            <w:tcMar>
              <w:top w:w="100" w:type="dxa"/>
              <w:left w:w="100" w:type="dxa"/>
              <w:bottom w:w="100" w:type="dxa"/>
              <w:right w:w="100" w:type="dxa"/>
            </w:tcMar>
          </w:tcPr>
          <w:p w14:paraId="4422FF2B" w14:textId="59BDC19F" w:rsidR="00590658" w:rsidRDefault="00C842F5">
            <w:pPr>
              <w:widowControl w:val="0"/>
              <w:spacing w:line="240" w:lineRule="auto"/>
              <w:rPr>
                <w:color w:val="FFFFFF"/>
              </w:rPr>
            </w:pPr>
            <w:bookmarkStart w:id="1" w:name="Policy5"/>
            <w:r>
              <w:rPr>
                <w:color w:val="FFFFFF"/>
              </w:rPr>
              <w:lastRenderedPageBreak/>
              <w:t>Po</w:t>
            </w:r>
            <w:r w:rsidR="00B473F9">
              <w:rPr>
                <w:color w:val="FFFFFF"/>
              </w:rPr>
              <w:t xml:space="preserve">licy </w:t>
            </w:r>
            <w:r w:rsidR="007E19DA">
              <w:rPr>
                <w:color w:val="FFFFFF"/>
              </w:rPr>
              <w:t>2</w:t>
            </w:r>
            <w:r>
              <w:rPr>
                <w:color w:val="FFFFFF"/>
              </w:rPr>
              <w:t xml:space="preserve">: </w:t>
            </w:r>
            <w:r w:rsidR="00A13B8F">
              <w:rPr>
                <w:color w:val="FFFFFF"/>
              </w:rPr>
              <w:t xml:space="preserve">Initial </w:t>
            </w:r>
            <w:r>
              <w:rPr>
                <w:color w:val="FFFFFF"/>
              </w:rPr>
              <w:t xml:space="preserve">Application Date </w:t>
            </w:r>
            <w:bookmarkEnd w:id="1"/>
          </w:p>
        </w:tc>
        <w:tc>
          <w:tcPr>
            <w:tcW w:w="7110" w:type="dxa"/>
            <w:shd w:val="clear" w:color="auto" w:fill="674EA7"/>
            <w:tcMar>
              <w:top w:w="100" w:type="dxa"/>
              <w:left w:w="100" w:type="dxa"/>
              <w:bottom w:w="100" w:type="dxa"/>
              <w:right w:w="100" w:type="dxa"/>
            </w:tcMar>
          </w:tcPr>
          <w:p w14:paraId="0DA3DFB4" w14:textId="77777777" w:rsidR="00590658" w:rsidRDefault="00590658">
            <w:pPr>
              <w:widowControl w:val="0"/>
              <w:spacing w:line="240" w:lineRule="auto"/>
              <w:jc w:val="right"/>
              <w:rPr>
                <w:color w:val="FFFFFF"/>
              </w:rPr>
            </w:pPr>
          </w:p>
        </w:tc>
      </w:tr>
    </w:tbl>
    <w:p w14:paraId="6E72690F" w14:textId="77777777" w:rsidR="00590658" w:rsidRDefault="00590658">
      <w:pPr>
        <w:spacing w:before="40" w:line="254" w:lineRule="auto"/>
        <w:ind w:left="180" w:right="100"/>
        <w:rPr>
          <w:sz w:val="18"/>
          <w:szCs w:val="18"/>
        </w:rPr>
      </w:pPr>
    </w:p>
    <w:p w14:paraId="36355BF6" w14:textId="165FCB6A" w:rsidR="00590658" w:rsidRDefault="00C842F5">
      <w:pPr>
        <w:spacing w:before="40" w:line="254" w:lineRule="auto"/>
        <w:ind w:left="180" w:right="100"/>
        <w:rPr>
          <w:sz w:val="18"/>
          <w:szCs w:val="18"/>
        </w:rPr>
      </w:pPr>
      <w:r>
        <w:rPr>
          <w:sz w:val="18"/>
          <w:szCs w:val="18"/>
        </w:rPr>
        <w:t>(</w:t>
      </w:r>
      <w:r w:rsidR="00AC47D1">
        <w:rPr>
          <w:sz w:val="18"/>
          <w:szCs w:val="18"/>
        </w:rPr>
        <w:t>GASB 87</w:t>
      </w:r>
      <w:r>
        <w:rPr>
          <w:sz w:val="18"/>
          <w:szCs w:val="18"/>
        </w:rPr>
        <w:t>: Paragraph</w:t>
      </w:r>
      <w:r w:rsidR="00F07AF1">
        <w:rPr>
          <w:sz w:val="18"/>
          <w:szCs w:val="18"/>
        </w:rPr>
        <w:t>s</w:t>
      </w:r>
      <w:r>
        <w:rPr>
          <w:sz w:val="18"/>
          <w:szCs w:val="18"/>
        </w:rPr>
        <w:t xml:space="preserve"> </w:t>
      </w:r>
      <w:r w:rsidR="00F07AF1">
        <w:rPr>
          <w:sz w:val="18"/>
          <w:szCs w:val="18"/>
        </w:rPr>
        <w:t>92-93, B127</w:t>
      </w:r>
      <w:r>
        <w:rPr>
          <w:sz w:val="18"/>
          <w:szCs w:val="18"/>
          <w:highlight w:val="white"/>
        </w:rPr>
        <w:t xml:space="preserve">): </w:t>
      </w:r>
      <w:bookmarkStart w:id="2" w:name="_Hlk521163918"/>
      <w:r w:rsidR="000A4A12">
        <w:rPr>
          <w:sz w:val="18"/>
          <w:szCs w:val="18"/>
        </w:rPr>
        <w:t>Application of</w:t>
      </w:r>
      <w:r w:rsidR="00A13B8F">
        <w:rPr>
          <w:sz w:val="18"/>
          <w:szCs w:val="18"/>
        </w:rPr>
        <w:t xml:space="preserve"> the Lease Standard </w:t>
      </w:r>
      <w:r w:rsidR="000A4A12">
        <w:rPr>
          <w:sz w:val="18"/>
          <w:szCs w:val="18"/>
        </w:rPr>
        <w:t xml:space="preserve">is required for </w:t>
      </w:r>
      <w:r w:rsidR="00A13B8F">
        <w:rPr>
          <w:sz w:val="18"/>
          <w:szCs w:val="18"/>
        </w:rPr>
        <w:t>all reporting periods presented</w:t>
      </w:r>
      <w:r w:rsidR="00F07AF1">
        <w:rPr>
          <w:sz w:val="18"/>
          <w:szCs w:val="18"/>
        </w:rPr>
        <w:t>, unless it is deemed not practicable</w:t>
      </w:r>
      <w:bookmarkEnd w:id="2"/>
      <w:r w:rsidR="00F07AF1">
        <w:rPr>
          <w:sz w:val="18"/>
          <w:szCs w:val="18"/>
        </w:rPr>
        <w:t>.  Reasonable efforts should be employed before a government determines that restatement of all prior periods</w:t>
      </w:r>
      <w:r w:rsidR="001573B5">
        <w:rPr>
          <w:sz w:val="18"/>
          <w:szCs w:val="18"/>
        </w:rPr>
        <w:t xml:space="preserve"> presented is not practicable. In other words, </w:t>
      </w:r>
      <w:r w:rsidR="001573B5" w:rsidRPr="001573B5">
        <w:rPr>
          <w:i/>
          <w:iCs/>
          <w:sz w:val="18"/>
          <w:szCs w:val="18"/>
        </w:rPr>
        <w:t>inconvenient</w:t>
      </w:r>
      <w:r w:rsidR="001573B5">
        <w:rPr>
          <w:sz w:val="18"/>
          <w:szCs w:val="18"/>
        </w:rPr>
        <w:t xml:space="preserve"> should be considered equivalent to </w:t>
      </w:r>
      <w:r w:rsidR="001573B5" w:rsidRPr="001573B5">
        <w:rPr>
          <w:i/>
          <w:iCs/>
          <w:sz w:val="18"/>
          <w:szCs w:val="18"/>
        </w:rPr>
        <w:t>not</w:t>
      </w:r>
      <w:r w:rsidR="001573B5">
        <w:rPr>
          <w:sz w:val="18"/>
          <w:szCs w:val="18"/>
        </w:rPr>
        <w:t xml:space="preserve"> </w:t>
      </w:r>
      <w:r w:rsidR="001573B5" w:rsidRPr="001573B5">
        <w:rPr>
          <w:i/>
          <w:iCs/>
          <w:sz w:val="18"/>
          <w:szCs w:val="18"/>
        </w:rPr>
        <w:t>practicable</w:t>
      </w:r>
      <w:r w:rsidR="001573B5">
        <w:rPr>
          <w:sz w:val="18"/>
          <w:szCs w:val="18"/>
        </w:rPr>
        <w:t xml:space="preserve">. </w:t>
      </w:r>
    </w:p>
    <w:p w14:paraId="3815BB6B" w14:textId="77777777" w:rsidR="00590658" w:rsidRDefault="00590658">
      <w:pPr>
        <w:spacing w:before="40" w:line="254" w:lineRule="auto"/>
        <w:ind w:left="180" w:right="100"/>
        <w:rPr>
          <w:sz w:val="18"/>
          <w:szCs w:val="18"/>
        </w:rPr>
      </w:pPr>
    </w:p>
    <w:p w14:paraId="5531BD3B" w14:textId="4347E0A4" w:rsidR="00590658" w:rsidRPr="002F7F60" w:rsidRDefault="00C842F5" w:rsidP="002F7F60">
      <w:pPr>
        <w:spacing w:before="40" w:line="254" w:lineRule="auto"/>
        <w:ind w:left="180" w:right="280"/>
        <w:jc w:val="both"/>
        <w:rPr>
          <w:b/>
          <w:sz w:val="18"/>
          <w:szCs w:val="18"/>
          <w:u w:val="single"/>
        </w:rPr>
      </w:pPr>
      <w:r>
        <w:rPr>
          <w:b/>
          <w:sz w:val="18"/>
          <w:szCs w:val="18"/>
          <w:u w:val="single"/>
        </w:rPr>
        <w:t>Policy Election:</w:t>
      </w:r>
    </w:p>
    <w:p w14:paraId="6D134554" w14:textId="7858E55B" w:rsidR="002F7F60" w:rsidRDefault="00832F91" w:rsidP="002F7F60">
      <w:pPr>
        <w:spacing w:before="40" w:line="254" w:lineRule="auto"/>
        <w:ind w:left="180" w:right="280"/>
        <w:jc w:val="both"/>
        <w:rPr>
          <w:sz w:val="18"/>
          <w:szCs w:val="18"/>
        </w:rPr>
      </w:pPr>
      <w:sdt>
        <w:sdtPr>
          <w:rPr>
            <w:sz w:val="24"/>
            <w:szCs w:val="24"/>
          </w:rPr>
          <w:id w:val="1802651425"/>
          <w14:checkbox>
            <w14:checked w14:val="1"/>
            <w14:checkedState w14:val="00FE" w14:font="Wingdings"/>
            <w14:uncheckedState w14:val="00A8" w14:font="Wingdings"/>
          </w14:checkbox>
        </w:sdtPr>
        <w:sdtEndPr/>
        <w:sdtContent>
          <w:r w:rsidR="00F07AF1">
            <w:rPr>
              <w:sz w:val="24"/>
              <w:szCs w:val="24"/>
            </w:rPr>
            <w:sym w:font="Wingdings" w:char="F0FE"/>
          </w:r>
        </w:sdtContent>
      </w:sdt>
      <w:r w:rsidR="002F7F60">
        <w:rPr>
          <w:sz w:val="18"/>
          <w:szCs w:val="18"/>
        </w:rPr>
        <w:t xml:space="preserve">  </w:t>
      </w:r>
      <w:r w:rsidR="001573B5">
        <w:rPr>
          <w:sz w:val="18"/>
          <w:szCs w:val="18"/>
        </w:rPr>
        <w:t xml:space="preserve"> *</w:t>
      </w:r>
      <w:r w:rsidR="002F7F60">
        <w:rPr>
          <w:sz w:val="18"/>
          <w:szCs w:val="18"/>
        </w:rPr>
        <w:t xml:space="preserve"> Elect to apply Lease Standard retrospectively to all prior reporting periods with the cumulative impact reported in </w:t>
      </w:r>
      <w:r w:rsidR="001573B5">
        <w:rPr>
          <w:sz w:val="18"/>
          <w:szCs w:val="18"/>
        </w:rPr>
        <w:t>beginning net position</w:t>
      </w:r>
      <w:r w:rsidR="002F7F60">
        <w:rPr>
          <w:sz w:val="18"/>
          <w:szCs w:val="18"/>
        </w:rPr>
        <w:t xml:space="preserve"> of the first year </w:t>
      </w:r>
      <w:proofErr w:type="gramStart"/>
      <w:r w:rsidR="002F7F60">
        <w:rPr>
          <w:sz w:val="18"/>
          <w:szCs w:val="18"/>
        </w:rPr>
        <w:t>presented</w:t>
      </w:r>
      <w:proofErr w:type="gramEnd"/>
      <w:r w:rsidR="002F7F60">
        <w:rPr>
          <w:sz w:val="18"/>
          <w:szCs w:val="18"/>
        </w:rPr>
        <w:t xml:space="preserve"> </w:t>
      </w:r>
    </w:p>
    <w:p w14:paraId="17579823" w14:textId="438D6D41" w:rsidR="002F7F60" w:rsidRDefault="00832F91" w:rsidP="002F7F60">
      <w:pPr>
        <w:spacing w:before="40" w:line="254" w:lineRule="auto"/>
        <w:ind w:left="180" w:right="280"/>
        <w:jc w:val="both"/>
        <w:rPr>
          <w:sz w:val="18"/>
          <w:szCs w:val="18"/>
        </w:rPr>
      </w:pPr>
      <w:sdt>
        <w:sdtPr>
          <w:rPr>
            <w:sz w:val="24"/>
            <w:szCs w:val="24"/>
          </w:rPr>
          <w:id w:val="315313598"/>
          <w14:checkbox>
            <w14:checked w14:val="0"/>
            <w14:checkedState w14:val="00FE" w14:font="Wingdings"/>
            <w14:uncheckedState w14:val="00A8" w14:font="Wingdings"/>
          </w14:checkbox>
        </w:sdtPr>
        <w:sdtEndPr/>
        <w:sdtContent>
          <w:r w:rsidR="00F07AF1">
            <w:rPr>
              <w:sz w:val="24"/>
              <w:szCs w:val="24"/>
            </w:rPr>
            <w:sym w:font="Wingdings" w:char="F0A8"/>
          </w:r>
        </w:sdtContent>
      </w:sdt>
      <w:r w:rsidR="002F7F60">
        <w:rPr>
          <w:sz w:val="18"/>
          <w:szCs w:val="18"/>
        </w:rPr>
        <w:t xml:space="preserve">  </w:t>
      </w:r>
      <w:r w:rsidR="001573B5">
        <w:rPr>
          <w:sz w:val="18"/>
          <w:szCs w:val="18"/>
        </w:rPr>
        <w:t xml:space="preserve"> </w:t>
      </w:r>
      <w:r w:rsidR="002F7F60">
        <w:rPr>
          <w:sz w:val="18"/>
          <w:szCs w:val="18"/>
        </w:rPr>
        <w:t xml:space="preserve"> </w:t>
      </w:r>
      <w:bookmarkStart w:id="3" w:name="_Hlk521163940"/>
      <w:r w:rsidR="002F7F60">
        <w:rPr>
          <w:sz w:val="18"/>
          <w:szCs w:val="18"/>
        </w:rPr>
        <w:t>Elect to apply Lease Standard only to the most recent period without restating prior periods presented, with</w:t>
      </w:r>
      <w:bookmarkEnd w:id="3"/>
      <w:r w:rsidR="002F7F60">
        <w:rPr>
          <w:sz w:val="18"/>
          <w:szCs w:val="18"/>
        </w:rPr>
        <w:t xml:space="preserve"> the cumulative impact reported in </w:t>
      </w:r>
      <w:r w:rsidR="001573B5">
        <w:rPr>
          <w:sz w:val="18"/>
          <w:szCs w:val="18"/>
        </w:rPr>
        <w:t>beginning net position</w:t>
      </w:r>
      <w:r w:rsidR="002F7F60">
        <w:rPr>
          <w:sz w:val="18"/>
          <w:szCs w:val="18"/>
        </w:rPr>
        <w:t xml:space="preserve"> (</w:t>
      </w:r>
      <w:proofErr w:type="gramStart"/>
      <w:r w:rsidR="002F7F60">
        <w:rPr>
          <w:sz w:val="18"/>
          <w:szCs w:val="18"/>
        </w:rPr>
        <w:t>i.e.</w:t>
      </w:r>
      <w:proofErr w:type="gramEnd"/>
      <w:r w:rsidR="002F7F60">
        <w:rPr>
          <w:sz w:val="18"/>
          <w:szCs w:val="18"/>
        </w:rPr>
        <w:t xml:space="preserve"> no comparative restatement, instead cumulative adjustment to </w:t>
      </w:r>
      <w:r w:rsidR="001573B5">
        <w:rPr>
          <w:sz w:val="18"/>
          <w:szCs w:val="18"/>
        </w:rPr>
        <w:t>beginning net position</w:t>
      </w:r>
      <w:r w:rsidR="002F7F60">
        <w:rPr>
          <w:sz w:val="18"/>
          <w:szCs w:val="18"/>
        </w:rPr>
        <w:t xml:space="preserve"> in the year of adoption)</w:t>
      </w:r>
    </w:p>
    <w:p w14:paraId="3A93BD9F" w14:textId="09657F9A" w:rsidR="00590658" w:rsidRDefault="00590658">
      <w:pPr>
        <w:spacing w:before="40" w:line="254" w:lineRule="auto"/>
        <w:ind w:left="180" w:right="280"/>
        <w:jc w:val="both"/>
        <w:rPr>
          <w:sz w:val="18"/>
          <w:szCs w:val="18"/>
        </w:rPr>
      </w:pPr>
    </w:p>
    <w:p w14:paraId="50DE3D0D" w14:textId="39519CC5" w:rsidR="00590658" w:rsidRDefault="00C842F5">
      <w:pPr>
        <w:spacing w:before="40" w:line="254" w:lineRule="auto"/>
        <w:ind w:left="180" w:right="280"/>
        <w:jc w:val="both"/>
        <w:rPr>
          <w:sz w:val="18"/>
          <w:szCs w:val="18"/>
        </w:rPr>
      </w:pPr>
      <w:r>
        <w:rPr>
          <w:sz w:val="18"/>
          <w:szCs w:val="18"/>
        </w:rPr>
        <w:t>Comments</w:t>
      </w:r>
      <w:proofErr w:type="gramStart"/>
      <w:r>
        <w:rPr>
          <w:sz w:val="18"/>
          <w:szCs w:val="18"/>
        </w:rPr>
        <w:t>:</w:t>
      </w:r>
      <w:r w:rsidR="007B41C8">
        <w:rPr>
          <w:sz w:val="18"/>
          <w:szCs w:val="18"/>
        </w:rPr>
        <w:t xml:space="preserve">  </w:t>
      </w:r>
      <w:r>
        <w:rPr>
          <w:sz w:val="18"/>
          <w:szCs w:val="18"/>
        </w:rPr>
        <w:t>[</w:t>
      </w:r>
      <w:proofErr w:type="gramEnd"/>
      <w:r>
        <w:rPr>
          <w:sz w:val="18"/>
          <w:szCs w:val="18"/>
        </w:rPr>
        <w:t xml:space="preserve">_________________] </w:t>
      </w:r>
    </w:p>
    <w:p w14:paraId="78D8EFB7" w14:textId="77777777" w:rsidR="00590658" w:rsidRDefault="00590658">
      <w:pPr>
        <w:spacing w:before="40" w:line="254" w:lineRule="auto"/>
        <w:ind w:left="180" w:right="280"/>
        <w:jc w:val="both"/>
        <w:rPr>
          <w:sz w:val="18"/>
          <w:szCs w:val="18"/>
        </w:rPr>
      </w:pPr>
    </w:p>
    <w:p w14:paraId="35713113" w14:textId="58E2DFBC" w:rsidR="0064232D" w:rsidRDefault="0064232D" w:rsidP="0064232D">
      <w:pPr>
        <w:spacing w:before="40" w:line="254" w:lineRule="auto"/>
        <w:ind w:left="180" w:right="280"/>
        <w:jc w:val="both"/>
        <w:rPr>
          <w:sz w:val="18"/>
          <w:szCs w:val="18"/>
        </w:rPr>
      </w:pPr>
      <w:r>
        <w:rPr>
          <w:b/>
          <w:sz w:val="18"/>
          <w:szCs w:val="18"/>
        </w:rPr>
        <w:t>*Advantage:</w:t>
      </w:r>
      <w:r>
        <w:rPr>
          <w:sz w:val="18"/>
          <w:szCs w:val="18"/>
        </w:rPr>
        <w:t xml:space="preserve">  </w:t>
      </w:r>
      <w:r w:rsidR="001573B5">
        <w:rPr>
          <w:sz w:val="18"/>
          <w:szCs w:val="18"/>
        </w:rPr>
        <w:t xml:space="preserve">Impracticable is </w:t>
      </w:r>
      <w:r w:rsidR="001C52DC">
        <w:rPr>
          <w:sz w:val="18"/>
          <w:szCs w:val="18"/>
        </w:rPr>
        <w:t xml:space="preserve">a </w:t>
      </w:r>
      <w:r w:rsidR="001573B5">
        <w:rPr>
          <w:sz w:val="18"/>
          <w:szCs w:val="18"/>
        </w:rPr>
        <w:t xml:space="preserve">high threshold.  Choosing to apply to all periods presented will reduce the scrutiny by auditors and users of your financial statements.  </w:t>
      </w:r>
    </w:p>
    <w:p w14:paraId="36AE5D80" w14:textId="0BB8159F" w:rsidR="0079065A" w:rsidRDefault="0064232D" w:rsidP="0079065A">
      <w:pPr>
        <w:spacing w:before="40" w:line="254" w:lineRule="auto"/>
        <w:ind w:left="180" w:right="280"/>
        <w:jc w:val="both"/>
        <w:rPr>
          <w:sz w:val="18"/>
          <w:szCs w:val="18"/>
        </w:rPr>
      </w:pPr>
      <w:r>
        <w:rPr>
          <w:b/>
          <w:sz w:val="18"/>
          <w:szCs w:val="18"/>
        </w:rPr>
        <w:t>*Disadvantage:</w:t>
      </w:r>
      <w:r>
        <w:rPr>
          <w:sz w:val="18"/>
          <w:szCs w:val="18"/>
        </w:rPr>
        <w:t xml:space="preserve">  </w:t>
      </w:r>
      <w:r w:rsidR="001573B5">
        <w:rPr>
          <w:sz w:val="18"/>
          <w:szCs w:val="18"/>
        </w:rPr>
        <w:t xml:space="preserve">Additional year(s) of compliance with the Lease Standard. </w:t>
      </w:r>
      <w:r w:rsidR="0079065A">
        <w:rPr>
          <w:sz w:val="18"/>
          <w:szCs w:val="18"/>
        </w:rPr>
        <w:t xml:space="preserve"> </w:t>
      </w:r>
    </w:p>
    <w:p w14:paraId="52746777" w14:textId="0317B7B1" w:rsidR="0064232D" w:rsidRDefault="0064232D" w:rsidP="0064232D">
      <w:pPr>
        <w:spacing w:before="40" w:line="254" w:lineRule="auto"/>
        <w:ind w:left="180" w:right="280"/>
        <w:jc w:val="both"/>
        <w:rPr>
          <w:sz w:val="18"/>
          <w:szCs w:val="18"/>
        </w:rPr>
      </w:pPr>
      <w:r>
        <w:rPr>
          <w:sz w:val="18"/>
          <w:szCs w:val="18"/>
        </w:rPr>
        <w:t xml:space="preserve">  </w:t>
      </w:r>
    </w:p>
    <w:p w14:paraId="56B21799" w14:textId="77777777" w:rsidR="00590658" w:rsidRDefault="00590658">
      <w:pPr>
        <w:spacing w:before="40" w:line="254" w:lineRule="auto"/>
        <w:ind w:left="180" w:right="280"/>
        <w:jc w:val="both"/>
        <w:rPr>
          <w:sz w:val="18"/>
          <w:szCs w:val="18"/>
        </w:rPr>
      </w:pPr>
    </w:p>
    <w:p w14:paraId="09401A7B" w14:textId="77777777" w:rsidR="00A53149" w:rsidRDefault="00A63F43" w:rsidP="00A63F43">
      <w:pPr>
        <w:rPr>
          <w:sz w:val="18"/>
          <w:szCs w:val="18"/>
        </w:rPr>
      </w:pPr>
      <w:r>
        <w:rPr>
          <w:sz w:val="18"/>
          <w:szCs w:val="18"/>
        </w:rPr>
        <w:br w:type="page"/>
      </w:r>
    </w:p>
    <w:tbl>
      <w:tblPr>
        <w:tblW w:w="14220" w:type="dxa"/>
        <w:tblInd w:w="180" w:type="dxa"/>
        <w:tblBorders>
          <w:top w:val="single" w:sz="8" w:space="0" w:color="674EA7"/>
          <w:left w:val="single" w:sz="8" w:space="0" w:color="674EA7"/>
          <w:bottom w:val="single" w:sz="8" w:space="0" w:color="674EA7"/>
          <w:right w:val="single" w:sz="8" w:space="0" w:color="674EA7"/>
          <w:insideH w:val="single" w:sz="8" w:space="0" w:color="674EA7"/>
          <w:insideV w:val="single" w:sz="8" w:space="0" w:color="674EA7"/>
        </w:tblBorders>
        <w:tblLayout w:type="fixed"/>
        <w:tblLook w:val="0600" w:firstRow="0" w:lastRow="0" w:firstColumn="0" w:lastColumn="0" w:noHBand="1" w:noVBand="1"/>
      </w:tblPr>
      <w:tblGrid>
        <w:gridCol w:w="7110"/>
        <w:gridCol w:w="7110"/>
      </w:tblGrid>
      <w:tr w:rsidR="007B70A8" w14:paraId="30BD124B" w14:textId="77777777" w:rsidTr="00EA4655">
        <w:tc>
          <w:tcPr>
            <w:tcW w:w="7110" w:type="dxa"/>
            <w:shd w:val="clear" w:color="auto" w:fill="674EA7"/>
            <w:tcMar>
              <w:top w:w="100" w:type="dxa"/>
              <w:left w:w="100" w:type="dxa"/>
              <w:bottom w:w="100" w:type="dxa"/>
              <w:right w:w="100" w:type="dxa"/>
            </w:tcMar>
          </w:tcPr>
          <w:p w14:paraId="7B44A89D" w14:textId="5BC372F1" w:rsidR="007B70A8" w:rsidRDefault="00117D2C" w:rsidP="00EA4655">
            <w:pPr>
              <w:widowControl w:val="0"/>
              <w:spacing w:line="240" w:lineRule="auto"/>
              <w:rPr>
                <w:color w:val="FFFFFF"/>
              </w:rPr>
            </w:pPr>
            <w:bookmarkStart w:id="4" w:name="Policy6"/>
            <w:r>
              <w:rPr>
                <w:color w:val="FFFFFF"/>
              </w:rPr>
              <w:lastRenderedPageBreak/>
              <w:t xml:space="preserve">Policy </w:t>
            </w:r>
            <w:r w:rsidR="007E19DA">
              <w:rPr>
                <w:color w:val="FFFFFF"/>
              </w:rPr>
              <w:t>3</w:t>
            </w:r>
            <w:r w:rsidR="007B70A8">
              <w:rPr>
                <w:color w:val="FFFFFF"/>
              </w:rPr>
              <w:t xml:space="preserve">: </w:t>
            </w:r>
            <w:bookmarkEnd w:id="4"/>
            <w:r w:rsidR="007E19DA">
              <w:rPr>
                <w:color w:val="FFFFFF"/>
              </w:rPr>
              <w:t>Capitalization Threshold</w:t>
            </w:r>
          </w:p>
        </w:tc>
        <w:tc>
          <w:tcPr>
            <w:tcW w:w="7110" w:type="dxa"/>
            <w:shd w:val="clear" w:color="auto" w:fill="674EA7"/>
            <w:tcMar>
              <w:top w:w="100" w:type="dxa"/>
              <w:left w:w="100" w:type="dxa"/>
              <w:bottom w:w="100" w:type="dxa"/>
              <w:right w:w="100" w:type="dxa"/>
            </w:tcMar>
          </w:tcPr>
          <w:p w14:paraId="14057743" w14:textId="77777777" w:rsidR="007B70A8" w:rsidRDefault="007B70A8" w:rsidP="00EA4655">
            <w:pPr>
              <w:widowControl w:val="0"/>
              <w:spacing w:line="240" w:lineRule="auto"/>
              <w:jc w:val="right"/>
              <w:rPr>
                <w:color w:val="FFFFFF"/>
              </w:rPr>
            </w:pPr>
          </w:p>
        </w:tc>
      </w:tr>
    </w:tbl>
    <w:p w14:paraId="206F0B17" w14:textId="77777777" w:rsidR="007E19DA" w:rsidRDefault="007E19DA" w:rsidP="007E19DA">
      <w:pPr>
        <w:spacing w:before="40" w:line="254" w:lineRule="auto"/>
        <w:ind w:left="180" w:right="100"/>
        <w:rPr>
          <w:sz w:val="18"/>
          <w:szCs w:val="18"/>
        </w:rPr>
      </w:pPr>
    </w:p>
    <w:p w14:paraId="5F093F81" w14:textId="6A96557A" w:rsidR="007E19DA" w:rsidRDefault="007E19DA" w:rsidP="007E19DA">
      <w:pPr>
        <w:spacing w:before="40" w:line="254" w:lineRule="auto"/>
        <w:ind w:left="180" w:right="100"/>
        <w:rPr>
          <w:sz w:val="18"/>
          <w:szCs w:val="18"/>
        </w:rPr>
      </w:pPr>
      <w:r>
        <w:rPr>
          <w:sz w:val="18"/>
          <w:szCs w:val="18"/>
        </w:rPr>
        <w:t>(GASB 87: Paragraph</w:t>
      </w:r>
      <w:r w:rsidR="00F546AE">
        <w:rPr>
          <w:sz w:val="18"/>
          <w:szCs w:val="18"/>
        </w:rPr>
        <w:t>s B99, Implementation Guide 2019-3 Paragraph 4.23</w:t>
      </w:r>
      <w:r w:rsidR="008F3386">
        <w:rPr>
          <w:sz w:val="18"/>
          <w:szCs w:val="18"/>
        </w:rPr>
        <w:t>, Implementation Guide 2015-1 Questions 7.4.1 &amp; 7.9.8</w:t>
      </w:r>
      <w:r>
        <w:rPr>
          <w:sz w:val="18"/>
          <w:szCs w:val="18"/>
          <w:highlight w:val="white"/>
        </w:rPr>
        <w:t>): Lesse</w:t>
      </w:r>
      <w:r>
        <w:rPr>
          <w:sz w:val="18"/>
          <w:szCs w:val="18"/>
        </w:rPr>
        <w:t xml:space="preserve">e </w:t>
      </w:r>
      <w:r w:rsidR="00F546AE">
        <w:rPr>
          <w:sz w:val="18"/>
          <w:szCs w:val="18"/>
        </w:rPr>
        <w:t xml:space="preserve">may elect a capitalization threshold </w:t>
      </w:r>
      <w:r w:rsidR="00BA7FD4">
        <w:rPr>
          <w:sz w:val="18"/>
          <w:szCs w:val="18"/>
        </w:rPr>
        <w:t xml:space="preserve">for </w:t>
      </w:r>
      <w:r w:rsidR="00E070EC">
        <w:rPr>
          <w:sz w:val="18"/>
          <w:szCs w:val="18"/>
        </w:rPr>
        <w:t>lease</w:t>
      </w:r>
      <w:r w:rsidR="00BA7FD4">
        <w:rPr>
          <w:sz w:val="18"/>
          <w:szCs w:val="18"/>
        </w:rPr>
        <w:t xml:space="preserve"> assets.  </w:t>
      </w:r>
    </w:p>
    <w:p w14:paraId="10750DBE" w14:textId="77777777" w:rsidR="00A53149" w:rsidRDefault="00A53149">
      <w:pPr>
        <w:spacing w:before="40" w:line="254" w:lineRule="auto"/>
        <w:ind w:left="180" w:right="280"/>
        <w:jc w:val="both"/>
        <w:rPr>
          <w:sz w:val="18"/>
          <w:szCs w:val="18"/>
        </w:rPr>
      </w:pPr>
    </w:p>
    <w:p w14:paraId="4972083F" w14:textId="77777777" w:rsidR="004C0BDF" w:rsidRPr="002F7F60" w:rsidRDefault="004C0BDF" w:rsidP="004C0BDF">
      <w:pPr>
        <w:spacing w:before="40" w:line="254" w:lineRule="auto"/>
        <w:ind w:left="180" w:right="280"/>
        <w:jc w:val="both"/>
        <w:rPr>
          <w:b/>
          <w:sz w:val="18"/>
          <w:szCs w:val="18"/>
          <w:u w:val="single"/>
        </w:rPr>
      </w:pPr>
      <w:bookmarkStart w:id="5" w:name="_Hlk56841878"/>
      <w:r>
        <w:rPr>
          <w:b/>
          <w:sz w:val="18"/>
          <w:szCs w:val="18"/>
          <w:u w:val="single"/>
        </w:rPr>
        <w:t>Policy Election:</w:t>
      </w:r>
    </w:p>
    <w:p w14:paraId="153D6945" w14:textId="145A49F7" w:rsidR="004C0BDF" w:rsidRDefault="00832F91" w:rsidP="004C0BDF">
      <w:pPr>
        <w:spacing w:before="40" w:line="254" w:lineRule="auto"/>
        <w:ind w:left="180" w:right="280"/>
        <w:jc w:val="both"/>
        <w:rPr>
          <w:sz w:val="18"/>
          <w:szCs w:val="18"/>
        </w:rPr>
      </w:pPr>
      <w:sdt>
        <w:sdtPr>
          <w:rPr>
            <w:sz w:val="24"/>
            <w:szCs w:val="24"/>
          </w:rPr>
          <w:id w:val="1816830940"/>
          <w14:checkbox>
            <w14:checked w14:val="1"/>
            <w14:checkedState w14:val="00FE" w14:font="Wingdings"/>
            <w14:uncheckedState w14:val="00A8" w14:font="Wingdings"/>
          </w14:checkbox>
        </w:sdtPr>
        <w:sdtEndPr/>
        <w:sdtContent>
          <w:r w:rsidR="004C0BDF">
            <w:rPr>
              <w:sz w:val="24"/>
              <w:szCs w:val="24"/>
            </w:rPr>
            <w:sym w:font="Wingdings" w:char="F0FE"/>
          </w:r>
        </w:sdtContent>
      </w:sdt>
      <w:r w:rsidR="004C0BDF">
        <w:rPr>
          <w:sz w:val="18"/>
          <w:szCs w:val="18"/>
        </w:rPr>
        <w:t xml:space="preserve">   * Elect to not apply a capitalization </w:t>
      </w:r>
      <w:proofErr w:type="gramStart"/>
      <w:r w:rsidR="004C0BDF">
        <w:rPr>
          <w:sz w:val="18"/>
          <w:szCs w:val="18"/>
        </w:rPr>
        <w:t>threshold</w:t>
      </w:r>
      <w:proofErr w:type="gramEnd"/>
    </w:p>
    <w:p w14:paraId="4CBB8B5B" w14:textId="77E04F73" w:rsidR="004C0BDF" w:rsidRDefault="00832F91" w:rsidP="004C0BDF">
      <w:pPr>
        <w:spacing w:before="40" w:line="254" w:lineRule="auto"/>
        <w:ind w:left="180" w:right="280"/>
        <w:jc w:val="both"/>
        <w:rPr>
          <w:sz w:val="18"/>
          <w:szCs w:val="18"/>
        </w:rPr>
      </w:pPr>
      <w:sdt>
        <w:sdtPr>
          <w:rPr>
            <w:sz w:val="24"/>
            <w:szCs w:val="24"/>
          </w:rPr>
          <w:id w:val="-1269776955"/>
          <w14:checkbox>
            <w14:checked w14:val="0"/>
            <w14:checkedState w14:val="00FE" w14:font="Wingdings"/>
            <w14:uncheckedState w14:val="00A8" w14:font="Wingdings"/>
          </w14:checkbox>
        </w:sdtPr>
        <w:sdtEndPr/>
        <w:sdtContent>
          <w:r w:rsidR="004C0BDF">
            <w:rPr>
              <w:sz w:val="24"/>
              <w:szCs w:val="24"/>
            </w:rPr>
            <w:sym w:font="Wingdings" w:char="F0A8"/>
          </w:r>
        </w:sdtContent>
      </w:sdt>
      <w:r w:rsidR="004C0BDF">
        <w:rPr>
          <w:sz w:val="18"/>
          <w:szCs w:val="18"/>
        </w:rPr>
        <w:t xml:space="preserve">     Elect to apply the following capitalization threshold [_________________]</w:t>
      </w:r>
    </w:p>
    <w:p w14:paraId="2DF8D27C" w14:textId="77777777" w:rsidR="004C0BDF" w:rsidRDefault="004C0BDF" w:rsidP="004C0BDF">
      <w:pPr>
        <w:spacing w:before="40" w:line="254" w:lineRule="auto"/>
        <w:ind w:left="180" w:right="280"/>
        <w:jc w:val="both"/>
        <w:rPr>
          <w:sz w:val="18"/>
          <w:szCs w:val="18"/>
        </w:rPr>
      </w:pPr>
    </w:p>
    <w:p w14:paraId="6FFC31B6" w14:textId="77777777" w:rsidR="004C0BDF" w:rsidRDefault="004C0BDF" w:rsidP="004C0BDF">
      <w:pPr>
        <w:spacing w:before="40" w:line="254" w:lineRule="auto"/>
        <w:ind w:left="180" w:right="280"/>
        <w:jc w:val="both"/>
        <w:rPr>
          <w:sz w:val="18"/>
          <w:szCs w:val="18"/>
        </w:rPr>
      </w:pPr>
    </w:p>
    <w:p w14:paraId="390C156B" w14:textId="77777777" w:rsidR="004C0BDF" w:rsidRDefault="004C0BDF" w:rsidP="004C0BDF">
      <w:pPr>
        <w:spacing w:before="40" w:line="254" w:lineRule="auto"/>
        <w:ind w:left="180" w:right="280"/>
        <w:jc w:val="both"/>
        <w:rPr>
          <w:sz w:val="18"/>
          <w:szCs w:val="18"/>
        </w:rPr>
      </w:pPr>
      <w:r>
        <w:rPr>
          <w:sz w:val="18"/>
          <w:szCs w:val="18"/>
        </w:rPr>
        <w:t>Comments</w:t>
      </w:r>
      <w:proofErr w:type="gramStart"/>
      <w:r>
        <w:rPr>
          <w:sz w:val="18"/>
          <w:szCs w:val="18"/>
        </w:rPr>
        <w:t>:  [</w:t>
      </w:r>
      <w:proofErr w:type="gramEnd"/>
      <w:r>
        <w:rPr>
          <w:sz w:val="18"/>
          <w:szCs w:val="18"/>
        </w:rPr>
        <w:t xml:space="preserve">_________________] </w:t>
      </w:r>
    </w:p>
    <w:p w14:paraId="1F9E7EEB" w14:textId="77777777" w:rsidR="004C0BDF" w:rsidRDefault="004C0BDF" w:rsidP="004C0BDF">
      <w:pPr>
        <w:spacing w:before="40" w:line="254" w:lineRule="auto"/>
        <w:ind w:left="180" w:right="280"/>
        <w:jc w:val="both"/>
        <w:rPr>
          <w:sz w:val="18"/>
          <w:szCs w:val="18"/>
        </w:rPr>
      </w:pPr>
    </w:p>
    <w:p w14:paraId="3E6EAE05" w14:textId="18825A87" w:rsidR="004C0BDF" w:rsidRDefault="004C0BDF" w:rsidP="004C0BDF">
      <w:pPr>
        <w:spacing w:before="40" w:line="254" w:lineRule="auto"/>
        <w:ind w:left="180" w:right="100"/>
        <w:rPr>
          <w:sz w:val="18"/>
          <w:szCs w:val="18"/>
        </w:rPr>
      </w:pPr>
      <w:r>
        <w:rPr>
          <w:b/>
          <w:sz w:val="18"/>
          <w:szCs w:val="18"/>
        </w:rPr>
        <w:t>*Advantage:</w:t>
      </w:r>
      <w:r>
        <w:rPr>
          <w:sz w:val="18"/>
          <w:szCs w:val="18"/>
        </w:rPr>
        <w:t xml:space="preserve">  The capitalization policy for lease assets may not be applicable for their related liabilities, as liabilities that are significant individually or in the aggregate should be recognized.  Therefore, a capitalization policy might exempt certain lease assets but still require accounting for the related lease liabilities, which would add complexity to implementation.  </w:t>
      </w:r>
    </w:p>
    <w:p w14:paraId="455E6A45" w14:textId="77777777" w:rsidR="004C0BDF" w:rsidRDefault="004C0BDF" w:rsidP="004C0BDF">
      <w:pPr>
        <w:spacing w:before="40" w:line="254" w:lineRule="auto"/>
        <w:ind w:left="180" w:right="280"/>
        <w:jc w:val="both"/>
        <w:rPr>
          <w:sz w:val="18"/>
          <w:szCs w:val="18"/>
        </w:rPr>
      </w:pPr>
      <w:r>
        <w:rPr>
          <w:b/>
          <w:sz w:val="18"/>
          <w:szCs w:val="18"/>
        </w:rPr>
        <w:t>*Disadvantage:</w:t>
      </w:r>
      <w:r>
        <w:rPr>
          <w:sz w:val="18"/>
          <w:szCs w:val="18"/>
        </w:rPr>
        <w:t xml:space="preserve">  Reduce the number of leases to apply the Lease Standard. </w:t>
      </w:r>
    </w:p>
    <w:bookmarkEnd w:id="5"/>
    <w:p w14:paraId="71B6DBC4" w14:textId="521FB5E7" w:rsidR="004C0BDF" w:rsidRDefault="004C0BDF" w:rsidP="004C0BDF">
      <w:pPr>
        <w:spacing w:before="40" w:line="254" w:lineRule="auto"/>
        <w:ind w:left="180" w:right="100"/>
        <w:rPr>
          <w:sz w:val="18"/>
          <w:szCs w:val="18"/>
        </w:rPr>
      </w:pPr>
    </w:p>
    <w:p w14:paraId="759CE366" w14:textId="77777777" w:rsidR="00A53149" w:rsidRDefault="00A53149">
      <w:pPr>
        <w:spacing w:before="40" w:line="254" w:lineRule="auto"/>
        <w:ind w:left="180" w:right="280"/>
        <w:jc w:val="both"/>
        <w:rPr>
          <w:sz w:val="18"/>
          <w:szCs w:val="18"/>
        </w:rPr>
      </w:pPr>
    </w:p>
    <w:p w14:paraId="1ECCB4CC" w14:textId="77777777" w:rsidR="00A53149" w:rsidRDefault="00A53149">
      <w:pPr>
        <w:spacing w:before="40" w:line="254" w:lineRule="auto"/>
        <w:ind w:left="180" w:right="280"/>
        <w:jc w:val="both"/>
        <w:rPr>
          <w:sz w:val="18"/>
          <w:szCs w:val="18"/>
        </w:rPr>
      </w:pPr>
    </w:p>
    <w:p w14:paraId="2E40A996" w14:textId="77777777" w:rsidR="00A53149" w:rsidRDefault="00A53149">
      <w:pPr>
        <w:spacing w:before="40" w:line="254" w:lineRule="auto"/>
        <w:ind w:left="180" w:right="280"/>
        <w:jc w:val="both"/>
        <w:rPr>
          <w:sz w:val="18"/>
          <w:szCs w:val="18"/>
        </w:rPr>
      </w:pPr>
    </w:p>
    <w:p w14:paraId="01B6B12B" w14:textId="77777777" w:rsidR="00A53149" w:rsidRDefault="00A53149">
      <w:pPr>
        <w:spacing w:before="40" w:line="254" w:lineRule="auto"/>
        <w:ind w:left="180" w:right="280"/>
        <w:jc w:val="both"/>
        <w:rPr>
          <w:sz w:val="18"/>
          <w:szCs w:val="18"/>
        </w:rPr>
      </w:pPr>
    </w:p>
    <w:p w14:paraId="58B771A5" w14:textId="77777777" w:rsidR="00A53149" w:rsidRDefault="00A53149">
      <w:pPr>
        <w:spacing w:before="40" w:line="254" w:lineRule="auto"/>
        <w:ind w:left="180" w:right="280"/>
        <w:jc w:val="both"/>
        <w:rPr>
          <w:sz w:val="18"/>
          <w:szCs w:val="18"/>
        </w:rPr>
      </w:pPr>
    </w:p>
    <w:p w14:paraId="108FBB89" w14:textId="77777777" w:rsidR="00A53149" w:rsidRDefault="00A53149">
      <w:pPr>
        <w:spacing w:before="40" w:line="254" w:lineRule="auto"/>
        <w:ind w:left="180" w:right="280"/>
        <w:jc w:val="both"/>
        <w:rPr>
          <w:sz w:val="18"/>
          <w:szCs w:val="18"/>
        </w:rPr>
      </w:pPr>
    </w:p>
    <w:sectPr w:rsidR="00A53149">
      <w:headerReference w:type="default" r:id="rId7"/>
      <w:pgSz w:w="15840" w:h="12240"/>
      <w:pgMar w:top="1440" w:right="720" w:bottom="1440" w:left="720" w:header="0" w:footer="720" w:gutter="0"/>
      <w:pgNumType w:start="1"/>
      <w:cols w:space="720" w:equalWidth="0">
        <w:col w:w="144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C565" w14:textId="77777777" w:rsidR="00832F91" w:rsidRDefault="00832F91">
      <w:pPr>
        <w:spacing w:line="240" w:lineRule="auto"/>
      </w:pPr>
      <w:r>
        <w:separator/>
      </w:r>
    </w:p>
  </w:endnote>
  <w:endnote w:type="continuationSeparator" w:id="0">
    <w:p w14:paraId="6016E75D" w14:textId="77777777" w:rsidR="00832F91" w:rsidRDefault="00832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3FAA" w14:textId="77777777" w:rsidR="00832F91" w:rsidRDefault="00832F91">
      <w:pPr>
        <w:spacing w:line="240" w:lineRule="auto"/>
      </w:pPr>
      <w:r>
        <w:separator/>
      </w:r>
    </w:p>
  </w:footnote>
  <w:footnote w:type="continuationSeparator" w:id="0">
    <w:p w14:paraId="7C687010" w14:textId="77777777" w:rsidR="00832F91" w:rsidRDefault="00832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17C4" w14:textId="77777777" w:rsidR="00EA4655" w:rsidRDefault="00EA4655"/>
  <w:p w14:paraId="1C65B769" w14:textId="77777777" w:rsidR="00EA4655" w:rsidRDefault="00EA4655"/>
  <w:p w14:paraId="0539FEA1" w14:textId="77777777" w:rsidR="00EA4655" w:rsidRDefault="00EA4655"/>
  <w:p w14:paraId="1CEA24E8" w14:textId="77777777" w:rsidR="00EA4655" w:rsidRDefault="00EA4655"/>
  <w:p w14:paraId="5D969785" w14:textId="77777777" w:rsidR="00EA4655" w:rsidRDefault="00EA46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49D"/>
    <w:multiLevelType w:val="multilevel"/>
    <w:tmpl w:val="659A39C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 w15:restartNumberingAfterBreak="0">
    <w:nsid w:val="23E4123F"/>
    <w:multiLevelType w:val="multilevel"/>
    <w:tmpl w:val="69B0F6B6"/>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9462052"/>
    <w:multiLevelType w:val="multilevel"/>
    <w:tmpl w:val="4A88C6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29B70B36"/>
    <w:multiLevelType w:val="multilevel"/>
    <w:tmpl w:val="892276D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67730322"/>
    <w:multiLevelType w:val="multilevel"/>
    <w:tmpl w:val="9FA403EC"/>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A278B1"/>
    <w:multiLevelType w:val="multilevel"/>
    <w:tmpl w:val="CEE0FB3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 w15:restartNumberingAfterBreak="0">
    <w:nsid w:val="71D078AA"/>
    <w:multiLevelType w:val="multilevel"/>
    <w:tmpl w:val="C1BA8F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7990532"/>
    <w:multiLevelType w:val="multilevel"/>
    <w:tmpl w:val="0838C316"/>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7"/>
  </w:num>
  <w:num w:numId="3">
    <w:abstractNumId w:val="4"/>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58"/>
    <w:rsid w:val="00033C33"/>
    <w:rsid w:val="00035A4B"/>
    <w:rsid w:val="00047D54"/>
    <w:rsid w:val="00082D4D"/>
    <w:rsid w:val="0009219A"/>
    <w:rsid w:val="000961A4"/>
    <w:rsid w:val="000A4A12"/>
    <w:rsid w:val="000B5642"/>
    <w:rsid w:val="000F3190"/>
    <w:rsid w:val="000F6055"/>
    <w:rsid w:val="000F6A71"/>
    <w:rsid w:val="0010025E"/>
    <w:rsid w:val="00117D2C"/>
    <w:rsid w:val="001249E7"/>
    <w:rsid w:val="0012614C"/>
    <w:rsid w:val="00140A6B"/>
    <w:rsid w:val="0015550B"/>
    <w:rsid w:val="001573B5"/>
    <w:rsid w:val="0016225E"/>
    <w:rsid w:val="00180894"/>
    <w:rsid w:val="00196175"/>
    <w:rsid w:val="001A77DD"/>
    <w:rsid w:val="001C52DC"/>
    <w:rsid w:val="001C70AB"/>
    <w:rsid w:val="001D71DF"/>
    <w:rsid w:val="001D7F42"/>
    <w:rsid w:val="001E117D"/>
    <w:rsid w:val="001F515C"/>
    <w:rsid w:val="00207176"/>
    <w:rsid w:val="00213867"/>
    <w:rsid w:val="00216EA7"/>
    <w:rsid w:val="0027497E"/>
    <w:rsid w:val="002873FD"/>
    <w:rsid w:val="002E6C9A"/>
    <w:rsid w:val="002F0BDB"/>
    <w:rsid w:val="002F7F60"/>
    <w:rsid w:val="0030501E"/>
    <w:rsid w:val="00327233"/>
    <w:rsid w:val="0034155A"/>
    <w:rsid w:val="003814A1"/>
    <w:rsid w:val="003B464C"/>
    <w:rsid w:val="003E3DF1"/>
    <w:rsid w:val="00404F51"/>
    <w:rsid w:val="00413635"/>
    <w:rsid w:val="00413F16"/>
    <w:rsid w:val="00416DE2"/>
    <w:rsid w:val="00432AB3"/>
    <w:rsid w:val="00432C29"/>
    <w:rsid w:val="0045760F"/>
    <w:rsid w:val="00462289"/>
    <w:rsid w:val="00465E5F"/>
    <w:rsid w:val="004702BF"/>
    <w:rsid w:val="004903EC"/>
    <w:rsid w:val="00496A66"/>
    <w:rsid w:val="004A386E"/>
    <w:rsid w:val="004B10DD"/>
    <w:rsid w:val="004B16A1"/>
    <w:rsid w:val="004C0BDF"/>
    <w:rsid w:val="00527931"/>
    <w:rsid w:val="00550065"/>
    <w:rsid w:val="00590658"/>
    <w:rsid w:val="005B7E89"/>
    <w:rsid w:val="005C7D56"/>
    <w:rsid w:val="005E5308"/>
    <w:rsid w:val="00620C94"/>
    <w:rsid w:val="00625153"/>
    <w:rsid w:val="006368DE"/>
    <w:rsid w:val="0064232D"/>
    <w:rsid w:val="00694E8A"/>
    <w:rsid w:val="006F385F"/>
    <w:rsid w:val="00700646"/>
    <w:rsid w:val="007239F3"/>
    <w:rsid w:val="00730B2F"/>
    <w:rsid w:val="007476B3"/>
    <w:rsid w:val="00757AD8"/>
    <w:rsid w:val="0079065A"/>
    <w:rsid w:val="007A3F31"/>
    <w:rsid w:val="007B41C8"/>
    <w:rsid w:val="007B70A8"/>
    <w:rsid w:val="007E19DA"/>
    <w:rsid w:val="007F3C9D"/>
    <w:rsid w:val="00801047"/>
    <w:rsid w:val="00830387"/>
    <w:rsid w:val="00832F91"/>
    <w:rsid w:val="00875D03"/>
    <w:rsid w:val="00884222"/>
    <w:rsid w:val="00885DA1"/>
    <w:rsid w:val="008B77A4"/>
    <w:rsid w:val="008F3386"/>
    <w:rsid w:val="00900E44"/>
    <w:rsid w:val="00920EDF"/>
    <w:rsid w:val="00985276"/>
    <w:rsid w:val="009857D5"/>
    <w:rsid w:val="00995418"/>
    <w:rsid w:val="009A5709"/>
    <w:rsid w:val="009A6491"/>
    <w:rsid w:val="009D076D"/>
    <w:rsid w:val="009F480B"/>
    <w:rsid w:val="00A037F9"/>
    <w:rsid w:val="00A067E9"/>
    <w:rsid w:val="00A075DB"/>
    <w:rsid w:val="00A13B8F"/>
    <w:rsid w:val="00A44DAF"/>
    <w:rsid w:val="00A53149"/>
    <w:rsid w:val="00A63F43"/>
    <w:rsid w:val="00A96F06"/>
    <w:rsid w:val="00AC47D1"/>
    <w:rsid w:val="00AD2FCE"/>
    <w:rsid w:val="00AF04B1"/>
    <w:rsid w:val="00B25407"/>
    <w:rsid w:val="00B473F9"/>
    <w:rsid w:val="00B578B0"/>
    <w:rsid w:val="00B62B12"/>
    <w:rsid w:val="00B74527"/>
    <w:rsid w:val="00BA0069"/>
    <w:rsid w:val="00BA7FD4"/>
    <w:rsid w:val="00C240FA"/>
    <w:rsid w:val="00C50B7E"/>
    <w:rsid w:val="00C842F5"/>
    <w:rsid w:val="00CD5EE1"/>
    <w:rsid w:val="00CF0F06"/>
    <w:rsid w:val="00D12CA7"/>
    <w:rsid w:val="00D14A85"/>
    <w:rsid w:val="00D449FB"/>
    <w:rsid w:val="00D85DFC"/>
    <w:rsid w:val="00D919E8"/>
    <w:rsid w:val="00DC7B99"/>
    <w:rsid w:val="00E01CB3"/>
    <w:rsid w:val="00E070EC"/>
    <w:rsid w:val="00E167C9"/>
    <w:rsid w:val="00E33E26"/>
    <w:rsid w:val="00E369C8"/>
    <w:rsid w:val="00E765AA"/>
    <w:rsid w:val="00EA4655"/>
    <w:rsid w:val="00EC1A8B"/>
    <w:rsid w:val="00EE68A8"/>
    <w:rsid w:val="00F07AF1"/>
    <w:rsid w:val="00F133EF"/>
    <w:rsid w:val="00F4020F"/>
    <w:rsid w:val="00F546AE"/>
    <w:rsid w:val="00F839B6"/>
    <w:rsid w:val="00F86312"/>
    <w:rsid w:val="00FC613D"/>
    <w:rsid w:val="00FE2570"/>
    <w:rsid w:val="00FE32B5"/>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B337"/>
  <w15:docId w15:val="{FE60D4B8-C93F-4E37-8EC2-36AF4EED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NormalWeb">
    <w:name w:val="Normal (Web)"/>
    <w:basedOn w:val="Normal"/>
    <w:uiPriority w:val="99"/>
    <w:semiHidden/>
    <w:unhideWhenUsed/>
    <w:rsid w:val="00FF3C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17D2C"/>
    <w:pPr>
      <w:ind w:left="720"/>
      <w:contextualSpacing/>
    </w:pPr>
  </w:style>
  <w:style w:type="paragraph" w:styleId="BalloonText">
    <w:name w:val="Balloon Text"/>
    <w:basedOn w:val="Normal"/>
    <w:link w:val="BalloonTextChar"/>
    <w:uiPriority w:val="99"/>
    <w:semiHidden/>
    <w:unhideWhenUsed/>
    <w:rsid w:val="002873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FD"/>
    <w:rPr>
      <w:rFonts w:ascii="Segoe UI" w:hAnsi="Segoe UI" w:cs="Segoe UI"/>
      <w:sz w:val="18"/>
      <w:szCs w:val="18"/>
    </w:rPr>
  </w:style>
  <w:style w:type="character" w:styleId="Emphasis">
    <w:name w:val="Emphasis"/>
    <w:basedOn w:val="DefaultParagraphFont"/>
    <w:uiPriority w:val="20"/>
    <w:qFormat/>
    <w:rsid w:val="001E117D"/>
    <w:rPr>
      <w:i/>
      <w:iCs/>
    </w:rPr>
  </w:style>
  <w:style w:type="character" w:styleId="CommentReference">
    <w:name w:val="annotation reference"/>
    <w:basedOn w:val="DefaultParagraphFont"/>
    <w:uiPriority w:val="99"/>
    <w:semiHidden/>
    <w:unhideWhenUsed/>
    <w:rsid w:val="004B10DD"/>
    <w:rPr>
      <w:sz w:val="16"/>
      <w:szCs w:val="16"/>
    </w:rPr>
  </w:style>
  <w:style w:type="paragraph" w:styleId="CommentText">
    <w:name w:val="annotation text"/>
    <w:basedOn w:val="Normal"/>
    <w:link w:val="CommentTextChar"/>
    <w:uiPriority w:val="99"/>
    <w:semiHidden/>
    <w:unhideWhenUsed/>
    <w:rsid w:val="004B10DD"/>
    <w:pPr>
      <w:spacing w:line="240" w:lineRule="auto"/>
    </w:pPr>
    <w:rPr>
      <w:sz w:val="20"/>
      <w:szCs w:val="20"/>
    </w:rPr>
  </w:style>
  <w:style w:type="character" w:customStyle="1" w:styleId="CommentTextChar">
    <w:name w:val="Comment Text Char"/>
    <w:basedOn w:val="DefaultParagraphFont"/>
    <w:link w:val="CommentText"/>
    <w:uiPriority w:val="99"/>
    <w:semiHidden/>
    <w:rsid w:val="004B10DD"/>
    <w:rPr>
      <w:sz w:val="20"/>
      <w:szCs w:val="20"/>
    </w:rPr>
  </w:style>
  <w:style w:type="paragraph" w:styleId="CommentSubject">
    <w:name w:val="annotation subject"/>
    <w:basedOn w:val="CommentText"/>
    <w:next w:val="CommentText"/>
    <w:link w:val="CommentSubjectChar"/>
    <w:uiPriority w:val="99"/>
    <w:semiHidden/>
    <w:unhideWhenUsed/>
    <w:rsid w:val="004B10DD"/>
    <w:rPr>
      <w:b/>
      <w:bCs/>
    </w:rPr>
  </w:style>
  <w:style w:type="character" w:customStyle="1" w:styleId="CommentSubjectChar">
    <w:name w:val="Comment Subject Char"/>
    <w:basedOn w:val="CommentTextChar"/>
    <w:link w:val="CommentSubject"/>
    <w:uiPriority w:val="99"/>
    <w:semiHidden/>
    <w:rsid w:val="004B10DD"/>
    <w:rPr>
      <w:b/>
      <w:bCs/>
      <w:sz w:val="20"/>
      <w:szCs w:val="20"/>
    </w:rPr>
  </w:style>
  <w:style w:type="character" w:styleId="Hyperlink">
    <w:name w:val="Hyperlink"/>
    <w:basedOn w:val="DefaultParagraphFont"/>
    <w:uiPriority w:val="99"/>
    <w:unhideWhenUsed/>
    <w:rsid w:val="007B41C8"/>
    <w:rPr>
      <w:color w:val="0563C1" w:themeColor="hyperlink"/>
      <w:u w:val="single"/>
    </w:rPr>
  </w:style>
  <w:style w:type="character" w:styleId="UnresolvedMention">
    <w:name w:val="Unresolved Mention"/>
    <w:basedOn w:val="DefaultParagraphFont"/>
    <w:uiPriority w:val="99"/>
    <w:semiHidden/>
    <w:unhideWhenUsed/>
    <w:rsid w:val="007B41C8"/>
    <w:rPr>
      <w:color w:val="605E5C"/>
      <w:shd w:val="clear" w:color="auto" w:fill="E1DFDD"/>
    </w:rPr>
  </w:style>
  <w:style w:type="character" w:styleId="FollowedHyperlink">
    <w:name w:val="FollowedHyperlink"/>
    <w:basedOn w:val="DefaultParagraphFont"/>
    <w:uiPriority w:val="99"/>
    <w:semiHidden/>
    <w:unhideWhenUsed/>
    <w:rsid w:val="002F7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32331">
      <w:bodyDiv w:val="1"/>
      <w:marLeft w:val="0"/>
      <w:marRight w:val="0"/>
      <w:marTop w:val="0"/>
      <w:marBottom w:val="0"/>
      <w:divBdr>
        <w:top w:val="none" w:sz="0" w:space="0" w:color="auto"/>
        <w:left w:val="none" w:sz="0" w:space="0" w:color="auto"/>
        <w:bottom w:val="none" w:sz="0" w:space="0" w:color="auto"/>
        <w:right w:val="none" w:sz="0" w:space="0" w:color="auto"/>
      </w:divBdr>
    </w:div>
    <w:div w:id="1314598467">
      <w:bodyDiv w:val="1"/>
      <w:marLeft w:val="0"/>
      <w:marRight w:val="0"/>
      <w:marTop w:val="0"/>
      <w:marBottom w:val="0"/>
      <w:divBdr>
        <w:top w:val="none" w:sz="0" w:space="0" w:color="auto"/>
        <w:left w:val="none" w:sz="0" w:space="0" w:color="auto"/>
        <w:bottom w:val="none" w:sz="0" w:space="0" w:color="auto"/>
        <w:right w:val="none" w:sz="0" w:space="0" w:color="auto"/>
      </w:divBdr>
    </w:div>
    <w:div w:id="1455295991">
      <w:bodyDiv w:val="1"/>
      <w:marLeft w:val="0"/>
      <w:marRight w:val="0"/>
      <w:marTop w:val="0"/>
      <w:marBottom w:val="0"/>
      <w:divBdr>
        <w:top w:val="none" w:sz="0" w:space="0" w:color="auto"/>
        <w:left w:val="none" w:sz="0" w:space="0" w:color="auto"/>
        <w:bottom w:val="none" w:sz="0" w:space="0" w:color="auto"/>
        <w:right w:val="none" w:sz="0" w:space="0" w:color="auto"/>
      </w:divBdr>
    </w:div>
    <w:div w:id="2034652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PKWARe, Inc.</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Kohler</dc:creator>
  <cp:lastModifiedBy>Tim Kohler</cp:lastModifiedBy>
  <cp:revision>2</cp:revision>
  <dcterms:created xsi:type="dcterms:W3CDTF">2021-06-16T02:50:00Z</dcterms:created>
  <dcterms:modified xsi:type="dcterms:W3CDTF">2021-06-16T02:50:00Z</dcterms:modified>
</cp:coreProperties>
</file>